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0AAD1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特殊药品全流程管理信息系统建设项目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的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建设要求</w:t>
      </w:r>
    </w:p>
    <w:p w14:paraId="4B4EE85C"/>
    <w:tbl>
      <w:tblPr>
        <w:tblStyle w:val="2"/>
        <w:tblW w:w="5894" w:type="pct"/>
        <w:tblInd w:w="-4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684"/>
        <w:gridCol w:w="2076"/>
        <w:gridCol w:w="5150"/>
      </w:tblGrid>
      <w:tr w14:paraId="4095D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8D854">
            <w:pPr>
              <w:widowControl/>
              <w:ind w:firstLine="0" w:firstLineChars="0"/>
              <w:jc w:val="center"/>
              <w:textAlignment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类别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12E0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应用端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D53D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功能模块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3A1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详细参数</w:t>
            </w:r>
          </w:p>
        </w:tc>
      </w:tr>
      <w:tr w14:paraId="406C0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292DA30">
            <w:pPr>
              <w:widowControl/>
              <w:ind w:firstLine="0" w:firstLineChars="0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功能参数</w:t>
            </w:r>
          </w:p>
        </w:tc>
        <w:tc>
          <w:tcPr>
            <w:tcW w:w="8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E3BE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经办工作台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5997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特药认定审核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9B04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1、需支持医保办工作人员在线审核特药认定申请单，审核医生认定意见，对不符合医保要求的申请可退回医生重新提交；审核患者上传材料，支持退回材料让患者重新上传，或手动为患者补充材料。</w:t>
            </w:r>
          </w:p>
          <w:p w14:paraId="738ADACE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2、需支持填写认定时间，对认定申请单进行签字、盖章后，含认定材料一同打包，自动上传医保系统。</w:t>
            </w:r>
          </w:p>
          <w:p w14:paraId="095D7209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3、需支持对申请单审核操作锁定，同一张申请单仅允许一人办理，锁定人及管理员可释放锁定，支持全过程记录留痕。</w:t>
            </w:r>
          </w:p>
          <w:p w14:paraId="13E44CF5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4、需支持导出认定申请表及相关认定材料，结构化存储认定资料和审核记录，支持复查审核。</w:t>
            </w:r>
          </w:p>
        </w:tc>
      </w:tr>
      <w:tr w14:paraId="45707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0FFF06B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5B19C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E2080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特药认定档案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DAD07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</w:t>
            </w:r>
            <w:r>
              <w:rPr>
                <w:sz w:val="21"/>
                <w:szCs w:val="20"/>
              </w:rPr>
              <w:t>支持查询本院所有患者的特药认定档案信息。</w:t>
            </w:r>
          </w:p>
        </w:tc>
      </w:tr>
      <w:tr w14:paraId="6BE73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9C014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035D1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95665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特药处方审核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F61CC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需支持医保办工作人员对特药处方进行审核</w:t>
            </w:r>
            <w:r>
              <w:rPr>
                <w:rFonts w:hint="eastAsia"/>
                <w:sz w:val="21"/>
                <w:szCs w:val="20"/>
                <w:lang w:eastAsia="zh-CN"/>
              </w:rPr>
              <w:t>；</w:t>
            </w:r>
            <w:r>
              <w:rPr>
                <w:rFonts w:hint="eastAsia"/>
                <w:sz w:val="21"/>
                <w:szCs w:val="20"/>
              </w:rPr>
              <w:t>支持填写用药开始时间，支持处方单自动上传医保系统。</w:t>
            </w:r>
          </w:p>
        </w:tc>
      </w:tr>
      <w:tr w14:paraId="69743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E5FE0A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784C7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医生工作台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2C293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特药认定申请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230DA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需支持医生在线提交患者特药认定申请表</w:t>
            </w:r>
            <w:r>
              <w:rPr>
                <w:rFonts w:hint="eastAsia"/>
                <w:sz w:val="21"/>
                <w:szCs w:val="20"/>
                <w:lang w:eastAsia="zh-CN"/>
              </w:rPr>
              <w:t>；</w:t>
            </w:r>
            <w:r>
              <w:rPr>
                <w:rFonts w:hint="eastAsia"/>
                <w:sz w:val="21"/>
                <w:szCs w:val="20"/>
              </w:rPr>
              <w:t>支持查看患者历史特药认定记录和开具处方记录。</w:t>
            </w:r>
          </w:p>
        </w:tc>
      </w:tr>
      <w:tr w14:paraId="0725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885B73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4DD2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60651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特药处方开具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B758D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需支持对患者开具特药处方</w:t>
            </w:r>
            <w:r>
              <w:rPr>
                <w:rFonts w:hint="eastAsia"/>
                <w:sz w:val="21"/>
                <w:szCs w:val="20"/>
                <w:lang w:eastAsia="zh-CN"/>
              </w:rPr>
              <w:t>；</w:t>
            </w:r>
            <w:r>
              <w:rPr>
                <w:sz w:val="21"/>
                <w:szCs w:val="20"/>
              </w:rPr>
              <w:t>支持上次处方结束时间、药品剂量超量、药品用药天数超限等用药规范判定；支持院内</w:t>
            </w:r>
            <w:r>
              <w:rPr>
                <w:rFonts w:hint="eastAsia"/>
                <w:sz w:val="21"/>
                <w:szCs w:val="20"/>
                <w:lang w:eastAsia="zh-CN"/>
              </w:rPr>
              <w:t>、</w:t>
            </w:r>
            <w:r>
              <w:rPr>
                <w:sz w:val="21"/>
                <w:szCs w:val="20"/>
              </w:rPr>
              <w:t>院外定点药店两种取药方式；支持打印处方单、导诊单。</w:t>
            </w:r>
          </w:p>
        </w:tc>
      </w:tr>
      <w:tr w14:paraId="26682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F2A921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5276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药师工作台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8D0D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特药审核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36F6F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需支持药师对特药认定及特药处方进行审核，</w:t>
            </w:r>
            <w:r>
              <w:rPr>
                <w:sz w:val="21"/>
                <w:szCs w:val="20"/>
              </w:rPr>
              <w:t>对不符合规范的申请可退回医生重新提交</w:t>
            </w:r>
            <w:r>
              <w:rPr>
                <w:rFonts w:hint="eastAsia"/>
                <w:sz w:val="21"/>
                <w:szCs w:val="20"/>
                <w:lang w:eastAsia="zh-CN"/>
              </w:rPr>
              <w:t>；</w:t>
            </w:r>
            <w:r>
              <w:rPr>
                <w:sz w:val="21"/>
                <w:szCs w:val="20"/>
              </w:rPr>
              <w:t>支持查看药品剂量变更记录、历史处方记录</w:t>
            </w:r>
            <w:r>
              <w:rPr>
                <w:rFonts w:hint="eastAsia"/>
                <w:sz w:val="21"/>
                <w:szCs w:val="20"/>
              </w:rPr>
              <w:t>等</w:t>
            </w:r>
            <w:r>
              <w:rPr>
                <w:sz w:val="21"/>
                <w:szCs w:val="20"/>
              </w:rPr>
              <w:t>，供药师参考。</w:t>
            </w:r>
          </w:p>
        </w:tc>
      </w:tr>
      <w:tr w14:paraId="7D8CE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C02DC4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2486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患者端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F4BA7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特药认定服务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29746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需支持患者根据医生认定要求，在线提交特药认定申请资料，查询认定进度情况及认定结果详情，推送认定结果</w:t>
            </w:r>
            <w:r>
              <w:rPr>
                <w:rFonts w:hint="eastAsia"/>
                <w:sz w:val="21"/>
                <w:szCs w:val="20"/>
                <w:lang w:eastAsia="zh-CN"/>
              </w:rPr>
              <w:t>；</w:t>
            </w:r>
            <w:r>
              <w:rPr>
                <w:rFonts w:hint="eastAsia"/>
                <w:sz w:val="21"/>
                <w:szCs w:val="20"/>
              </w:rPr>
              <w:t>若认定审核不通过，患者可以清楚地通过系统了解认定被拒的原因，并且快捷发起重新认定，仅提交不通过资料即可。</w:t>
            </w:r>
          </w:p>
        </w:tc>
      </w:tr>
      <w:tr w14:paraId="003A7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621EB8A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C616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71A5D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特药医师查询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13A8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需支持查询本院不同特药的认定医生和治疗医生。</w:t>
            </w:r>
          </w:p>
        </w:tc>
      </w:tr>
      <w:tr w14:paraId="52087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70EC88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7F99E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D46F0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特药处方查询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0136A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</w:t>
            </w:r>
            <w:r>
              <w:rPr>
                <w:sz w:val="21"/>
                <w:szCs w:val="20"/>
              </w:rPr>
              <w:t>支持患者查询特药处方明细信息。</w:t>
            </w:r>
          </w:p>
        </w:tc>
      </w:tr>
      <w:tr w14:paraId="758F0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B0B401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A8A40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00F7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定点药店查询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09520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需查询特药可提供的药店。</w:t>
            </w:r>
          </w:p>
        </w:tc>
      </w:tr>
      <w:tr w14:paraId="0F4E4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B4EE00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29F13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C7089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智能咨询服务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937E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需建立特药咨询应答库，患者可根据问题分类主动查询问题，也可通过关键字输入，系统自动提取问题关键词，根据智能咨询模型自动应答。</w:t>
            </w:r>
          </w:p>
        </w:tc>
      </w:tr>
      <w:tr w14:paraId="272AA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6668F2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F59D6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4667F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智能引导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26BC2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需根据特药业务办理流程，生成认定电子导诊单。</w:t>
            </w:r>
          </w:p>
        </w:tc>
      </w:tr>
      <w:tr w14:paraId="17DC9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32E26A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0E29C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A3BA9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消息服务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4967E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需关键业务节点为患者推送特定消息，包括：认定审核通知、查询审核进度、推送审核结果等。</w:t>
            </w:r>
          </w:p>
        </w:tc>
      </w:tr>
      <w:tr w14:paraId="67816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F7A7020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9C2D2">
            <w:pPr>
              <w:ind w:firstLine="42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4DA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用药安全教育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B0085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</w:t>
            </w:r>
            <w:r>
              <w:rPr>
                <w:sz w:val="21"/>
                <w:szCs w:val="20"/>
              </w:rPr>
              <w:t>支持患者查看药品的用药信息</w:t>
            </w:r>
            <w:r>
              <w:rPr>
                <w:rFonts w:hint="eastAsia"/>
                <w:sz w:val="21"/>
                <w:szCs w:val="20"/>
              </w:rPr>
              <w:t>。</w:t>
            </w:r>
          </w:p>
        </w:tc>
      </w:tr>
      <w:tr w14:paraId="69C4D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76A8E2">
            <w:pPr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0E7EB4">
            <w:pPr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管理端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49E49">
            <w:pPr>
              <w:widowControl/>
              <w:ind w:firstLine="0" w:firstLineChars="0"/>
              <w:textAlignment w:val="center"/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工作台首页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F7264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各角色的工作台需支持</w:t>
            </w:r>
            <w:r>
              <w:rPr>
                <w:sz w:val="21"/>
                <w:szCs w:val="20"/>
              </w:rPr>
              <w:t>待办业务提醒</w:t>
            </w:r>
            <w:r>
              <w:rPr>
                <w:rFonts w:hint="eastAsia"/>
                <w:sz w:val="21"/>
                <w:szCs w:val="20"/>
              </w:rPr>
              <w:t>；支持</w:t>
            </w:r>
            <w:r>
              <w:rPr>
                <w:sz w:val="21"/>
                <w:szCs w:val="20"/>
              </w:rPr>
              <w:t>个人工作看板，对登录用户本人的工作数据进行统计。</w:t>
            </w:r>
          </w:p>
        </w:tc>
      </w:tr>
      <w:tr w14:paraId="28C27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DB1BE1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3E7C17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5EA68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特殊药品管理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38DF74">
            <w:pPr>
              <w:widowControl/>
              <w:ind w:firstLine="0" w:firstLineChars="0"/>
              <w:jc w:val="both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需支持对特殊药品进行维护管理，包括医保编码、特药商品目录、标准治疗方案、可认定病种等信息。</w:t>
            </w:r>
          </w:p>
        </w:tc>
      </w:tr>
      <w:tr w14:paraId="6EDBC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53E6F9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3FB077D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F21B6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特药病种管理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7DAFE6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需支持对特药病种目录进行管理。</w:t>
            </w:r>
          </w:p>
        </w:tc>
      </w:tr>
      <w:tr w14:paraId="5E280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A0EC8FF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C442BF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2D84A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特药医师管理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A7505F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</w:rPr>
              <w:t>需支持对本院的特药医师进行管理，重点管理特药认定权限，包括可认定的特药药品目录、病种目录，是否有认定权限、治疗权限。</w:t>
            </w:r>
          </w:p>
        </w:tc>
      </w:tr>
      <w:tr w14:paraId="381E1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CA32BD4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A61FCD6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3ECD8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知识库配置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2A1B45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需提供知识库配置工具，方便医保办人员根据政策变化对认定规则进行调整，支持灵活配置、动态更新。</w:t>
            </w:r>
          </w:p>
        </w:tc>
      </w:tr>
      <w:tr w14:paraId="41844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8C5A7F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ECD6FCB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B0BBA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特药药品库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EC712F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需根据特药政策文件和医保目录构建特药药品库，并完成医保对码，可实现院外、院内两个渠道药品的开具。</w:t>
            </w:r>
          </w:p>
        </w:tc>
      </w:tr>
      <w:tr w14:paraId="0AA22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2C6EDB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AA925E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17D22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sz w:val="21"/>
                <w:szCs w:val="20"/>
              </w:rPr>
              <w:t>导诊单配置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595EF5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</w:t>
            </w:r>
            <w:r>
              <w:rPr>
                <w:sz w:val="21"/>
                <w:szCs w:val="20"/>
              </w:rPr>
              <w:t>根据业务办理触发机制，全流程引导业务办理。认定申请成功时，系统生成认定电子导诊单。</w:t>
            </w:r>
          </w:p>
        </w:tc>
      </w:tr>
      <w:tr w14:paraId="5FC61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2F3791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03F394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6FF3A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  <w:t>业务智能咨询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15DF4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sz w:val="21"/>
                <w:szCs w:val="20"/>
              </w:rPr>
              <w:t>需</w:t>
            </w:r>
            <w:r>
              <w:rPr>
                <w:rFonts w:hint="eastAsia"/>
                <w:sz w:val="21"/>
                <w:szCs w:val="20"/>
              </w:rPr>
              <w:t>支持</w:t>
            </w:r>
            <w:r>
              <w:rPr>
                <w:sz w:val="21"/>
                <w:szCs w:val="20"/>
              </w:rPr>
              <w:t>维护问答库内容，包括服务事项、业务流程、药品目录等</w:t>
            </w:r>
            <w:r>
              <w:rPr>
                <w:rFonts w:hint="eastAsia"/>
                <w:sz w:val="21"/>
                <w:szCs w:val="20"/>
              </w:rPr>
              <w:t>；支持查询</w:t>
            </w:r>
            <w:r>
              <w:rPr>
                <w:sz w:val="21"/>
                <w:szCs w:val="20"/>
              </w:rPr>
              <w:t>患者咨询过的问题。</w:t>
            </w:r>
          </w:p>
        </w:tc>
      </w:tr>
      <w:tr w14:paraId="3CC99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16C64C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1B41F0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C609A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  <w:t>用药安全知识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66849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</w:t>
            </w:r>
            <w:r>
              <w:rPr>
                <w:sz w:val="21"/>
                <w:szCs w:val="20"/>
              </w:rPr>
              <w:t>支持医院维护用药安全知识</w:t>
            </w:r>
            <w:r>
              <w:rPr>
                <w:rFonts w:hint="eastAsia"/>
                <w:sz w:val="21"/>
                <w:szCs w:val="20"/>
              </w:rPr>
              <w:t>。</w:t>
            </w:r>
          </w:p>
        </w:tc>
      </w:tr>
      <w:tr w14:paraId="0E30F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2EBB4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3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C2C56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9C257">
            <w:pPr>
              <w:widowControl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0"/>
                <w:lang w:bidi="ar"/>
              </w:rPr>
              <w:t>系统权限管理</w:t>
            </w:r>
          </w:p>
        </w:tc>
        <w:tc>
          <w:tcPr>
            <w:tcW w:w="2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709DE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需支持对登录用户账号、密码进行管理；支持对医生、医保办工作人员、管理员、药师等角色进行管理；支持为不同角色的用户授予不同的操作权限、页面权限等；支持对不同功能菜单进行配置。</w:t>
            </w:r>
          </w:p>
        </w:tc>
      </w:tr>
      <w:tr w14:paraId="5678B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630C76">
            <w:pPr>
              <w:widowControl/>
              <w:ind w:firstLine="0" w:firstLineChars="0"/>
              <w:textAlignment w:val="center"/>
              <w:rPr>
                <w:rFonts w:hint="eastAsia" w:eastAsia="仿宋" w:cs="仿宋"/>
                <w:color w:val="000000"/>
                <w:kern w:val="0"/>
                <w:szCs w:val="24"/>
                <w:lang w:val="en-US" w:eastAsia="zh-CN" w:bidi="ar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服务要求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8E1D">
            <w:pPr>
              <w:widowControl/>
              <w:ind w:firstLine="0" w:firstLineChars="0"/>
              <w:textAlignment w:val="center"/>
              <w:rPr>
                <w:rFonts w:hint="default" w:eastAsia="仿宋" w:cs="仿宋"/>
                <w:color w:val="000000"/>
                <w:kern w:val="0"/>
                <w:szCs w:val="24"/>
                <w:lang w:val="en-US" w:eastAsia="zh-CN" w:bidi="ar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接口费用</w:t>
            </w:r>
          </w:p>
        </w:tc>
        <w:tc>
          <w:tcPr>
            <w:tcW w:w="35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7EE8">
            <w:pPr>
              <w:widowControl/>
              <w:ind w:firstLine="0" w:firstLineChars="0"/>
              <w:jc w:val="both"/>
              <w:textAlignment w:val="center"/>
              <w:rPr>
                <w:rFonts w:hint="eastAsia" w:eastAsiaTheme="minorEastAsia"/>
                <w:sz w:val="21"/>
                <w:szCs w:val="20"/>
                <w:lang w:eastAsia="zh-CN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本项目涉及的与HIS系统、医保局平台、微信公众号等所有接口的开发、联调、测试费用均包含在投标总价中，采购人不再另行支付。中标人须负责协调HIS厂商及医保局完成联调</w:t>
            </w:r>
            <w:r>
              <w:rPr>
                <w:rFonts w:hint="eastAsia"/>
                <w:sz w:val="21"/>
                <w:szCs w:val="20"/>
                <w:lang w:eastAsia="zh-CN"/>
              </w:rPr>
              <w:t>。</w:t>
            </w:r>
          </w:p>
        </w:tc>
      </w:tr>
      <w:tr w14:paraId="0C090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1C8BFB">
            <w:pPr>
              <w:widowControl/>
              <w:ind w:firstLine="0" w:firstLineChars="0"/>
              <w:textAlignment w:val="center"/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94ED5">
            <w:pPr>
              <w:widowControl/>
              <w:ind w:firstLine="0" w:firstLineChars="0"/>
              <w:textAlignment w:val="center"/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/>
                <w:sz w:val="21"/>
                <w:szCs w:val="20"/>
              </w:rPr>
              <w:t>数据安全与保密</w:t>
            </w:r>
          </w:p>
        </w:tc>
        <w:tc>
          <w:tcPr>
            <w:tcW w:w="35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47C81">
            <w:pPr>
              <w:widowControl/>
              <w:ind w:firstLine="0" w:firstLineChars="0"/>
              <w:jc w:val="both"/>
              <w:textAlignment w:val="center"/>
              <w:rPr>
                <w:rFonts w:hint="eastAsia" w:eastAsiaTheme="minorEastAsia"/>
                <w:sz w:val="21"/>
                <w:szCs w:val="20"/>
                <w:lang w:eastAsia="zh-CN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★</w:t>
            </w:r>
            <w:r>
              <w:rPr>
                <w:rFonts w:hint="eastAsia"/>
                <w:sz w:val="21"/>
                <w:szCs w:val="20"/>
              </w:rPr>
              <w:t>系统涉及患者实名信息及特殊病种隐私，中标人须在数据传输、存储环节采用国密算法或主流加密技术；须与采购人签订《数据安全与保密协议》，严禁将数据用于本项目外用途</w:t>
            </w:r>
            <w:r>
              <w:rPr>
                <w:rFonts w:hint="eastAsia"/>
                <w:sz w:val="21"/>
                <w:szCs w:val="20"/>
                <w:lang w:eastAsia="zh-CN"/>
              </w:rPr>
              <w:t>。</w:t>
            </w:r>
          </w:p>
        </w:tc>
      </w:tr>
      <w:tr w14:paraId="07BB2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A50489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029BE2">
            <w:pPr>
              <w:widowControl/>
              <w:ind w:firstLine="0" w:firstLineChars="0"/>
              <w:textAlignment w:val="center"/>
              <w:rPr>
                <w:rFonts w:hint="default" w:eastAsia="仿宋" w:cs="仿宋"/>
                <w:color w:val="000000"/>
                <w:kern w:val="0"/>
                <w:szCs w:val="24"/>
                <w:lang w:val="en-US" w:eastAsia="zh-CN" w:bidi="ar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培训要求</w:t>
            </w:r>
          </w:p>
        </w:tc>
        <w:tc>
          <w:tcPr>
            <w:tcW w:w="35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E6ACC82">
            <w:pPr>
              <w:widowControl/>
              <w:ind w:firstLine="0" w:firstLineChars="0"/>
              <w:jc w:val="both"/>
              <w:textAlignment w:val="center"/>
              <w:rPr>
                <w:rFonts w:hint="eastAsia" w:eastAsiaTheme="minorEastAsia"/>
                <w:sz w:val="21"/>
                <w:szCs w:val="20"/>
                <w:lang w:eastAsia="zh-CN"/>
              </w:rPr>
            </w:pPr>
            <w:r>
              <w:rPr>
                <w:rFonts w:hint="eastAsia"/>
                <w:sz w:val="21"/>
                <w:szCs w:val="20"/>
              </w:rPr>
              <w:t>根据釆购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人</w:t>
            </w:r>
            <w:r>
              <w:rPr>
                <w:rFonts w:hint="eastAsia"/>
                <w:sz w:val="21"/>
                <w:szCs w:val="20"/>
              </w:rPr>
              <w:t>的要求开展项目培训，培训内容包含系统的管理和使用、日常维护等，确保采购方人员能够有效使用和管理系统，并能够对出现的问题及时维护处理</w:t>
            </w:r>
            <w:r>
              <w:rPr>
                <w:rFonts w:hint="eastAsia"/>
                <w:sz w:val="21"/>
                <w:szCs w:val="20"/>
                <w:lang w:eastAsia="zh-CN"/>
              </w:rPr>
              <w:t>。</w:t>
            </w:r>
          </w:p>
        </w:tc>
      </w:tr>
      <w:tr w14:paraId="7F8AE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0AC6F3D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D2634">
            <w:pPr>
              <w:widowControl/>
              <w:ind w:firstLine="0" w:firstLineChars="0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质保要求</w:t>
            </w:r>
          </w:p>
        </w:tc>
        <w:tc>
          <w:tcPr>
            <w:tcW w:w="35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23B5E">
            <w:pPr>
              <w:widowControl/>
              <w:ind w:firstLine="0" w:firstLineChars="0"/>
              <w:jc w:val="both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提供不小于2年质保服务（自最终验收合格之日起），质保期内免费提供系统故障修复、软件升级及技术支持服务。</w:t>
            </w:r>
          </w:p>
        </w:tc>
      </w:tr>
      <w:tr w14:paraId="3BAB0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32E200AD">
            <w:pPr>
              <w:widowControl/>
              <w:ind w:firstLine="0" w:firstLineChars="0"/>
              <w:textAlignment w:val="center"/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2A9C7">
            <w:pPr>
              <w:widowControl/>
              <w:ind w:firstLine="0" w:firstLineChars="0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服务响应</w:t>
            </w:r>
          </w:p>
        </w:tc>
        <w:tc>
          <w:tcPr>
            <w:tcW w:w="35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6CA93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 w:eastAsia="仿宋" w:cs="仿宋"/>
                <w:color w:val="000000"/>
                <w:kern w:val="0"/>
                <w:szCs w:val="24"/>
                <w:lang w:bidi="ar"/>
              </w:rPr>
              <w:t>▲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质保期内提供7×24小时电话支持，电话响应≤30分钟；远程无法解决的24小时内到达现场，系统瘫痪8小时内恢复。</w:t>
            </w:r>
          </w:p>
        </w:tc>
      </w:tr>
      <w:tr w14:paraId="1D4AC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71832725">
            <w:pPr>
              <w:widowControl/>
              <w:ind w:firstLine="0" w:firstLineChars="0"/>
              <w:textAlignment w:val="center"/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0CBC9">
            <w:pPr>
              <w:widowControl/>
              <w:ind w:firstLine="0" w:firstLineChars="0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运维报告</w:t>
            </w:r>
          </w:p>
        </w:tc>
        <w:tc>
          <w:tcPr>
            <w:tcW w:w="35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624C4">
            <w:pPr>
              <w:widowControl/>
              <w:ind w:firstLine="0" w:firstLineChars="0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default"/>
                <w:sz w:val="21"/>
                <w:szCs w:val="20"/>
                <w:lang w:val="en-US" w:eastAsia="zh-CN"/>
              </w:rPr>
              <w:t>对于系统级故障、重大安全事件或采购人认为需要报告的故障，供应商须在故障处理完毕后提交《故障处理报告》，报告内容包括但不限于：故障现象、故障原因分析、处理过程及结果、预防措施建议等。</w:t>
            </w:r>
          </w:p>
        </w:tc>
      </w:tr>
      <w:tr w14:paraId="17E7A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0E4093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2BD5D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安装部署服务</w:t>
            </w:r>
          </w:p>
        </w:tc>
        <w:tc>
          <w:tcPr>
            <w:tcW w:w="3596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03814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中标人负责系统的安装、部署、调试及上线运行，确保系统正常运行。</w:t>
            </w:r>
          </w:p>
        </w:tc>
      </w:tr>
      <w:tr w14:paraId="4DCB1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0AE7">
            <w:pPr>
              <w:widowControl/>
              <w:ind w:firstLine="0" w:firstLineChars="0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426B9">
            <w:pPr>
              <w:widowControl/>
              <w:ind w:firstLine="0" w:firstLineChars="0"/>
              <w:textAlignment w:val="center"/>
              <w:rPr>
                <w:rFonts w:hint="default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其他要求</w:t>
            </w:r>
          </w:p>
        </w:tc>
        <w:tc>
          <w:tcPr>
            <w:tcW w:w="35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E3BD0">
            <w:pPr>
              <w:widowControl/>
              <w:ind w:firstLine="0" w:firstLineChars="0"/>
              <w:jc w:val="both"/>
              <w:textAlignment w:val="center"/>
              <w:rPr>
                <w:rFonts w:hint="eastAsia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报价须包含全部软件授权费、安装部署费、培训费、不少于2年质保服务费及税费等所有费用，采购人不再另行支付。</w:t>
            </w:r>
          </w:p>
        </w:tc>
      </w:tr>
    </w:tbl>
    <w:p w14:paraId="4807EB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4288C"/>
    <w:rsid w:val="10C4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2026-10-28T03:27:00Z</dcterms:created>
  <dc:creator>严梦</dc:creator>
  <cp:lastModifiedBy>严梦</cp:lastModifiedBy>
  <dcterms:modified xsi:type="dcterms:W3CDTF">2026-10-28T03:30:20Z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0B958BC7F1EA40F8A4741A61FD693E0C_11</vt:lpwstr>
  </property>
  <property fmtid="{D5CDD505-2E9C-101B-9397-08002B2CF9AE}" pid="4" name="KSOTemplateDocerSaveRecord">
    <vt:lpwstr>eyJoZGlkIjoiN2IwMmVmZTBjZjZkM2M1NWM3NTZhNzg2MTJkMmRjZDkiLCJ1c2VySWQiOiIxNzAzMzE3OTU1In0=</vt:lpwstr>
  </property>
</Properties>
</file>