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DC767">
      <w:pPr>
        <w:jc w:val="center"/>
        <w:rPr>
          <w:rFonts w:hint="default"/>
          <w:b/>
          <w:bCs/>
          <w:sz w:val="44"/>
          <w:szCs w:val="44"/>
          <w:lang w:val="en-US"/>
        </w:rPr>
      </w:pPr>
      <w:r>
        <w:rPr>
          <w:rFonts w:hint="eastAsia" w:ascii="方正仿宋_GB2312" w:hAnsi="方正仿宋_GB2312" w:eastAsia="方正仿宋_GB2312" w:cs="方正仿宋_GB2312"/>
          <w:b/>
          <w:bCs/>
          <w:color w:val="auto"/>
          <w:kern w:val="0"/>
          <w:sz w:val="44"/>
          <w:szCs w:val="44"/>
          <w:highlight w:val="none"/>
          <w:lang w:val="en-US" w:eastAsia="zh-CN" w:bidi="ar-SA"/>
        </w:rPr>
        <w:t>广元市中心医院网络安全漏洞无效化项目建设需求</w:t>
      </w:r>
    </w:p>
    <w:p w14:paraId="096AF6D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楷体_GB2312" w:eastAsia="楷体_GB2312" w:hAnsiTheme="minorHAnsi" w:cstheme="minorBidi"/>
          <w:kern w:val="2"/>
          <w:sz w:val="32"/>
          <w:szCs w:val="32"/>
          <w:lang w:val="en-US" w:eastAsia="zh-CN" w:bidi="ar-SA"/>
        </w:rPr>
      </w:pPr>
      <w:r>
        <w:rPr>
          <w:rFonts w:hint="eastAsia" w:ascii="楷体_GB2312" w:eastAsia="楷体_GB2312" w:cstheme="minorBidi"/>
          <w:kern w:val="2"/>
          <w:sz w:val="32"/>
          <w:szCs w:val="32"/>
          <w:lang w:val="en-US" w:eastAsia="zh-CN" w:bidi="ar-SA"/>
        </w:rPr>
        <w:t>服务内容</w:t>
      </w:r>
      <w:r>
        <w:rPr>
          <w:rFonts w:hint="eastAsia" w:ascii="楷体_GB2312" w:eastAsia="楷体_GB2312" w:hAnsiTheme="minorHAnsi" w:cstheme="minorBidi"/>
          <w:kern w:val="2"/>
          <w:sz w:val="32"/>
          <w:szCs w:val="32"/>
          <w:lang w:val="en-US" w:eastAsia="zh-CN" w:bidi="ar-SA"/>
        </w:rPr>
        <w:t>：</w:t>
      </w:r>
    </w:p>
    <w:p w14:paraId="35C410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1.采购清单</w:t>
      </w:r>
    </w:p>
    <w:tbl>
      <w:tblPr>
        <w:tblStyle w:val="3"/>
        <w:tblW w:w="8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3855"/>
        <w:gridCol w:w="2205"/>
        <w:gridCol w:w="1950"/>
      </w:tblGrid>
      <w:tr w14:paraId="2DD1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1" w:type="dxa"/>
            <w:vAlign w:val="center"/>
          </w:tcPr>
          <w:p w14:paraId="6D14C27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序号</w:t>
            </w:r>
          </w:p>
        </w:tc>
        <w:tc>
          <w:tcPr>
            <w:tcW w:w="3855" w:type="dxa"/>
            <w:vAlign w:val="center"/>
          </w:tcPr>
          <w:p w14:paraId="32439DA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品目名称</w:t>
            </w:r>
          </w:p>
        </w:tc>
        <w:tc>
          <w:tcPr>
            <w:tcW w:w="2205" w:type="dxa"/>
            <w:vAlign w:val="center"/>
          </w:tcPr>
          <w:p w14:paraId="2378BAA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数量</w:t>
            </w:r>
          </w:p>
        </w:tc>
        <w:tc>
          <w:tcPr>
            <w:tcW w:w="1950" w:type="dxa"/>
            <w:vAlign w:val="center"/>
          </w:tcPr>
          <w:p w14:paraId="5469AE9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单位</w:t>
            </w:r>
          </w:p>
        </w:tc>
      </w:tr>
      <w:tr w14:paraId="43BA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08ECC65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3855" w:type="dxa"/>
            <w:vAlign w:val="center"/>
          </w:tcPr>
          <w:p w14:paraId="5AD154F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硬件设备</w:t>
            </w:r>
          </w:p>
        </w:tc>
        <w:tc>
          <w:tcPr>
            <w:tcW w:w="2205" w:type="dxa"/>
            <w:vAlign w:val="center"/>
          </w:tcPr>
          <w:p w14:paraId="35A3C1A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950" w:type="dxa"/>
            <w:vAlign w:val="center"/>
          </w:tcPr>
          <w:p w14:paraId="6A148D9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r>
      <w:tr w14:paraId="2EF51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52384BD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3855" w:type="dxa"/>
            <w:vAlign w:val="center"/>
          </w:tcPr>
          <w:p w14:paraId="0E949AE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软件/系统服务</w:t>
            </w:r>
          </w:p>
        </w:tc>
        <w:tc>
          <w:tcPr>
            <w:tcW w:w="2205" w:type="dxa"/>
            <w:vAlign w:val="center"/>
          </w:tcPr>
          <w:p w14:paraId="4FD311A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950" w:type="dxa"/>
            <w:vAlign w:val="center"/>
          </w:tcPr>
          <w:p w14:paraId="0BE18C4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r>
    </w:tbl>
    <w:p w14:paraId="21A6FA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2.技术参数</w:t>
      </w:r>
    </w:p>
    <w:tbl>
      <w:tblPr>
        <w:tblStyle w:val="2"/>
        <w:tblW w:w="88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3"/>
        <w:gridCol w:w="1485"/>
        <w:gridCol w:w="6467"/>
      </w:tblGrid>
      <w:tr w14:paraId="6B9C9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74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4"/>
                <w:szCs w:val="24"/>
                <w:u w:val="none"/>
              </w:rPr>
            </w:pPr>
            <w:bookmarkStart w:id="0" w:name="_GoBack"/>
            <w:bookmarkEnd w:id="0"/>
            <w:r>
              <w:rPr>
                <w:rFonts w:hint="eastAsia" w:ascii="仿宋" w:hAnsi="仿宋" w:eastAsia="仿宋" w:cs="仿宋"/>
                <w:i w:val="0"/>
                <w:iCs w:val="0"/>
                <w:color w:val="000000"/>
                <w:kern w:val="0"/>
                <w:sz w:val="24"/>
                <w:szCs w:val="24"/>
                <w:u w:val="none"/>
                <w:lang w:val="en-US" w:eastAsia="zh-CN" w:bidi="ar"/>
              </w:rPr>
              <w:t>序号</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938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项目要求</w:t>
            </w:r>
          </w:p>
        </w:tc>
        <w:tc>
          <w:tcPr>
            <w:tcW w:w="6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75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功能需求</w:t>
            </w:r>
          </w:p>
        </w:tc>
      </w:tr>
      <w:tr w14:paraId="5D38C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B6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42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p>
          <w:p w14:paraId="1F082FC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部署与适配要求</w:t>
            </w:r>
          </w:p>
          <w:p w14:paraId="3DDA99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09D8">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★产品须为自主研发的国产化安全产品，具备软件著作权登记证书。</w:t>
            </w:r>
          </w:p>
          <w:p w14:paraId="1862BBF3">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★部署模式：不改变采购人现有网络架构，支持多路旁路阻断部署，支持对阻断口的VLAN ID和网关MAC进行配置。</w:t>
            </w:r>
          </w:p>
          <w:p w14:paraId="01A25747">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▲支持在IPv4和IPv6双栈网络环境下正常运行，能够对IPv6网络流量中的漏洞利用行为进行识别和阻断。</w:t>
            </w:r>
          </w:p>
          <w:p w14:paraId="14000870">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管理方式：支持B/S架构管理，支持HTTPS加密访问；支持多级用户权限管理，可分配不同管理角色和操作权限。</w:t>
            </w:r>
          </w:p>
        </w:tc>
      </w:tr>
      <w:tr w14:paraId="74ABB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E03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B56B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漏洞防护能力要求</w:t>
            </w:r>
          </w:p>
          <w:p w14:paraId="6CE0A3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B791">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★内置规则库：支持规则库总数不低于25000条，规则库至少包含资产测绘规则、漏洞防护规则、WEB防护规则三大类别，支持实时更新。</w:t>
            </w:r>
          </w:p>
          <w:p w14:paraId="3F0DC75F">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支持对漏洞利用、Web攻击防护、资产测绘防护策略和防护模板进行配置。</w:t>
            </w:r>
          </w:p>
          <w:p w14:paraId="717D6412">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▲支持对网络流量中包括SQL注入、命令注入、LDAP注入、XPATH注入、XML注入、JSON注入、SSI注入、XSS注入、组件漏洞、Web扫描、Webshell等漏洞利用行为进行防护</w:t>
            </w:r>
          </w:p>
          <w:p w14:paraId="6E3AEB91">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▲漏洞知识库：内置不低于250000条漏洞信息，可基于CVEID可以快速生成漏洞知识及防护建议，支持实时更新。</w:t>
            </w:r>
          </w:p>
          <w:p w14:paraId="6E3AF03F">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具备对网络流量中以下行为的识别与防护能力：国内外主流商业测绘平台、网络爬虫、系统扫描工具、WEB扫描工具、POC漏洞利用工具等，支持实时更新。</w:t>
            </w:r>
          </w:p>
          <w:p w14:paraId="23987EFA">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支持基于网络侧的主动阻断方式，能够根据漏洞特征库对攻击流量进行实时阻断和告警。</w:t>
            </w:r>
          </w:p>
        </w:tc>
      </w:tr>
      <w:tr w14:paraId="5C855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3E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58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访问控制能力要求</w:t>
            </w: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3BBEB">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▲访问控制：支持对攻击IP进行精细化封禁控制，封禁后可针对特定IP设置白名单加白，不影响正常业务访问。</w:t>
            </w:r>
          </w:p>
          <w:p w14:paraId="02AC505B">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支持IP黑白名单配置、支持URL黑白名单配置。</w:t>
            </w:r>
          </w:p>
          <w:p w14:paraId="03ADFED9">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支持基于时间策略的封禁规则配置，实现自动化封禁与解封管理。</w:t>
            </w:r>
          </w:p>
        </w:tc>
      </w:tr>
      <w:tr w14:paraId="17799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486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42A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告警与日志管理要求</w:t>
            </w: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00999">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告警管理：支持对告警日志进行“一键排除”（误报处理）和“一键拉黑”（IP封禁）操作。</w:t>
            </w:r>
          </w:p>
          <w:p w14:paraId="6847E3CD">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支持选择时间段、资产名称、攻击类型、源IP 、目的IP、攻击类型、严重级别进行日志检索和查询。</w:t>
            </w:r>
          </w:p>
          <w:p w14:paraId="7EDC3201">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支持告警日志的导出功能，支持日志留存不少于180天。</w:t>
            </w:r>
          </w:p>
          <w:p w14:paraId="03B95C5D">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▲支持与采购人现有安全运营平台或态势感知平台、日志审计平台等进行标准协议对接，实现告警统一管理与分析。</w:t>
            </w:r>
          </w:p>
        </w:tc>
      </w:tr>
      <w:tr w14:paraId="71DDE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E47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DC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性能与可靠性要求</w:t>
            </w: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305D">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▲处理性能：在不低于1Gbps网络流量下，系统处理延迟≤5ms，不影响正常业务网络通信质量。</w:t>
            </w:r>
          </w:p>
          <w:p w14:paraId="1EED2CDD">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具备自我保护能力，非授权用户无法关闭或绕过安全防护功能，防止攻击者通过异常流量导致防护失效。</w:t>
            </w:r>
          </w:p>
        </w:tc>
      </w:tr>
      <w:tr w14:paraId="2FC10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10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885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项目要求</w:t>
            </w:r>
          </w:p>
        </w:tc>
        <w:tc>
          <w:tcPr>
            <w:tcW w:w="6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BB30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功能需求</w:t>
            </w:r>
          </w:p>
        </w:tc>
      </w:tr>
      <w:tr w14:paraId="0A503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547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EA6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p>
          <w:p w14:paraId="3CD9F8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部署与适配要求</w:t>
            </w:r>
          </w:p>
          <w:p w14:paraId="3970015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7B37">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★产品须为自主研发的国产化安全产品，具备软件著作权登记证书。</w:t>
            </w:r>
          </w:p>
          <w:p w14:paraId="695974D9">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★部署模式：不改变采购人现有网络架构，支持多路旁路阻断部署，支持对阻断口的VLAN ID和网关MAC进行配置。</w:t>
            </w:r>
          </w:p>
          <w:p w14:paraId="0291B291">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▲支持在IPv4和IPv6双栈网络环境下正常运行，能够对IPv6网络流量中的漏洞利用行为进行识别和阻断。</w:t>
            </w:r>
          </w:p>
          <w:p w14:paraId="77F6BBDC">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管理方式：支持B/S架构管理，支持HTTPS加密访问；支持多级用户权限管理，可分配不同管理角色和操作权限。</w:t>
            </w:r>
          </w:p>
        </w:tc>
      </w:tr>
      <w:tr w14:paraId="6EE58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348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54F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漏洞防护能力要求</w:t>
            </w:r>
          </w:p>
          <w:p w14:paraId="130BC9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C8AC">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★内置规则库：支持规则库总数不低于25000条，规则库至少包含资产测绘规则、漏洞防护规则、WEB防护规则三大类别。</w:t>
            </w:r>
          </w:p>
          <w:p w14:paraId="2282E768">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支持对漏洞利用、Web攻击防护、资产测绘防护策略和防护模板进行配置。</w:t>
            </w:r>
          </w:p>
          <w:p w14:paraId="48A830FE">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▲支持对网络流量中包括SQL注入、命令注入、LDAP注入、XPATH注入、XML注入、JSON注入、SSI注入、XSS注入、组件漏洞、Web扫描、Webshell等漏洞利用行为进行防护</w:t>
            </w:r>
          </w:p>
          <w:p w14:paraId="6EC7E116">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▲漏洞知识库：内置不低于250000条漏洞信息，可基于CVEID可以快速生成漏洞知识及防护建议。</w:t>
            </w:r>
          </w:p>
          <w:p w14:paraId="43B74E89">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具备对网络流量中以下行为的识别与防护能力：国内外主流商业测绘平台、网络爬虫、系统扫描工具、WEB扫描工具、POC漏洞利用工具等。</w:t>
            </w:r>
          </w:p>
          <w:p w14:paraId="37E47066">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支持基于网络侧的主动阻断方式，能够根据漏洞特征库对攻击流量进行实时阻断和告警。</w:t>
            </w:r>
          </w:p>
        </w:tc>
      </w:tr>
      <w:tr w14:paraId="6E4A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8F6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D4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访问控制能力要求</w:t>
            </w: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55E2">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▲访问控制：支持对攻击IP进行精细化封禁控制，封禁后可针对特定IP设置白名单加白，不影响正常业务访问。</w:t>
            </w:r>
          </w:p>
          <w:p w14:paraId="3B715553">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支持IP黑白名单配置、支持URL黑白名单配置。</w:t>
            </w:r>
          </w:p>
          <w:p w14:paraId="1D191746">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支持基于时间策略的封禁规则配置，实现自动化封禁与解封管理。</w:t>
            </w:r>
          </w:p>
        </w:tc>
      </w:tr>
      <w:tr w14:paraId="5622D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6FC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420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告警与日志管理要求</w:t>
            </w: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144D">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告警管理：支持对告警日志进行“一键排除”（误报处理）和“一键拉黑”（IP封禁）操作。</w:t>
            </w:r>
          </w:p>
          <w:p w14:paraId="403D97DA">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支持选择时间段、资产名称、攻击类型、源IP 、目的IP、攻击类型、严重级别进行日志检索和查询。</w:t>
            </w:r>
          </w:p>
          <w:p w14:paraId="2A960A3E">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支持告警日志的导出功能，支持日志留存不少于180天。</w:t>
            </w:r>
          </w:p>
          <w:p w14:paraId="51F46C85">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▲支持与采购人现有安全运营平台或态势感知平台进行标准协议对接，实现告警统一管理与分析。</w:t>
            </w:r>
          </w:p>
        </w:tc>
      </w:tr>
      <w:tr w14:paraId="08F74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D4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67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性能与可靠性要求</w:t>
            </w: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768D">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▲处理性能：在不低于1Gbps网络流量下，系统处理延迟≤5ms，不影响正常业务网络通信质量。</w:t>
            </w:r>
          </w:p>
          <w:p w14:paraId="67829ED3">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具备自我保护能力，非授权用户无法关闭或绕过安全防护功能，防止攻击者通过异常流量导致防护失效。</w:t>
            </w:r>
          </w:p>
        </w:tc>
      </w:tr>
      <w:tr w14:paraId="1DAD1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44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A8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项目要求</w:t>
            </w:r>
          </w:p>
        </w:tc>
        <w:tc>
          <w:tcPr>
            <w:tcW w:w="6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61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功能需求</w:t>
            </w:r>
          </w:p>
        </w:tc>
      </w:tr>
      <w:tr w14:paraId="67EDF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4C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C78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p>
          <w:p w14:paraId="54F25F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部署与适配要求</w:t>
            </w:r>
          </w:p>
          <w:p w14:paraId="09C3FF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310B">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★产品须为自主研发的国产化安全产品，具备软件著作权登记证书。</w:t>
            </w:r>
          </w:p>
          <w:p w14:paraId="7D3C71E1">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★部署模式：不改变采购人现有网络架构，支持多路旁路阻断部署，支持对阻断口的VLAN ID和网关MAC进行配置。</w:t>
            </w:r>
          </w:p>
          <w:p w14:paraId="0104F227">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▲支持在IPv4和IPv6双栈网络环境下正常运行，能够对IPv6网络流量中的漏洞利用行为进行识别和阻断。</w:t>
            </w:r>
          </w:p>
          <w:p w14:paraId="1DBAEA72">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管理方式：支持B/S架构管理，支持HTTPS加密访问；支持多级用户权限管理，可分配不同管理角色和操作权限。</w:t>
            </w:r>
          </w:p>
        </w:tc>
      </w:tr>
      <w:tr w14:paraId="4E954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EA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820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漏洞防护能力要求</w:t>
            </w:r>
          </w:p>
          <w:p w14:paraId="3AF11F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1162">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★内置规则库：支持规则库总数不低于25000条，规则库至少包含资产测绘规则、漏洞防护规则、WEB防护规则三大类别，支持实时更新。</w:t>
            </w:r>
          </w:p>
          <w:p w14:paraId="248F143B">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支持对漏洞利用、Web攻击防护、资产测绘防护策略和防护模板进行配置。</w:t>
            </w:r>
          </w:p>
          <w:p w14:paraId="757B8C65">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▲支持对网络流量中包括SQL注入、命令注入、LDAP注入、XPATH注入、XML注入、JSON注入、SSI注入、XSS注入、组件漏洞、Web扫描、Webshell等漏洞利用行为进行防护</w:t>
            </w:r>
          </w:p>
          <w:p w14:paraId="59F1C86A">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▲漏洞知识库：内置不低于250000条漏洞信息，可基于CVEID可以快速生成漏洞知识及防护建议，支持实时更新。</w:t>
            </w:r>
          </w:p>
          <w:p w14:paraId="1B756011">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具备对网络流量中以下行为的识别与防护能力：国内外主流商业测绘平台、网络爬虫、系统扫描工具、WEB扫描工具、POC漏洞利用工具等，支持实时更新。</w:t>
            </w:r>
          </w:p>
          <w:p w14:paraId="6B0EBD1C">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支持基于网络侧的主动阻断方式，能够根据漏洞特征库对攻击流量进行实时阻断和告警。</w:t>
            </w:r>
          </w:p>
        </w:tc>
      </w:tr>
      <w:tr w14:paraId="44999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87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D1C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访问控制能力要求</w:t>
            </w: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32DB">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▲访问控制：支持对攻击IP进行精细化封禁控制，封禁后可针对特定IP设置白名单加白，不影响正常业务访问。</w:t>
            </w:r>
          </w:p>
          <w:p w14:paraId="5B7E7DFF">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支持IP黑白名单配置、支持URL黑白名单配置。</w:t>
            </w:r>
          </w:p>
          <w:p w14:paraId="23DE53A4">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支持基于时间策略的封禁规则配置，实现自动化封禁与解封管理。</w:t>
            </w:r>
          </w:p>
        </w:tc>
      </w:tr>
      <w:tr w14:paraId="5F659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E4C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C6D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告警与日志管理要求</w:t>
            </w: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00F1">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告警管理：支持对告警日志进行“一键排除”（误报处理）和“一键拉黑”（IP封禁）操作。</w:t>
            </w:r>
          </w:p>
          <w:p w14:paraId="508CC49B">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支持选择时间段、资产名称、攻击类型、源IP 、目的IP、攻击类型、严重级别进行日志检索和查询。</w:t>
            </w:r>
          </w:p>
          <w:p w14:paraId="08722939">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支持告警日志的导出功能，支持日志留存不少于180天。</w:t>
            </w:r>
          </w:p>
          <w:p w14:paraId="079B30A5">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▲支持与采购人现有安全运营平台或态势感知平台、日志审计平台等进行标准协议对接，实现告警统一管理与分析。</w:t>
            </w:r>
          </w:p>
        </w:tc>
      </w:tr>
      <w:tr w14:paraId="28E7B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3A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07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性能与可靠性要求</w:t>
            </w:r>
          </w:p>
        </w:tc>
        <w:tc>
          <w:tcPr>
            <w:tcW w:w="6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6E1E4">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▲处理性能：在不低于1Gbps网络流量下，系统处理延迟≤5ms，不影响正常业务网络通信质量。</w:t>
            </w:r>
          </w:p>
          <w:p w14:paraId="128FA5BF">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425" w:leftChars="0" w:hanging="425"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具备自我保护能力，非授权用户无法关闭或绕过安全防护功能，防止攻击者通过异常流量导致防护失效。</w:t>
            </w:r>
          </w:p>
        </w:tc>
      </w:tr>
    </w:tbl>
    <w:p w14:paraId="31EC140F">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楷体_GB2312" w:eastAsia="楷体_GB2312" w:cstheme="minorBidi"/>
          <w:kern w:val="2"/>
          <w:sz w:val="32"/>
          <w:szCs w:val="32"/>
          <w:lang w:val="en-US" w:eastAsia="zh-CN" w:bidi="ar-SA"/>
        </w:rPr>
      </w:pPr>
      <w:r>
        <w:rPr>
          <w:rFonts w:hint="eastAsia" w:ascii="楷体_GB2312" w:eastAsia="楷体_GB2312" w:cstheme="minorBidi"/>
          <w:kern w:val="2"/>
          <w:sz w:val="32"/>
          <w:szCs w:val="32"/>
          <w:lang w:val="en-US" w:eastAsia="zh-CN" w:bidi="ar-SA"/>
        </w:rPr>
        <w:t>（二）服务要求：</w:t>
      </w:r>
    </w:p>
    <w:p w14:paraId="2F897FEE">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1.安装部署服务</w:t>
      </w:r>
    </w:p>
    <w:p w14:paraId="7DB1AE7F">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w:t>
      </w:r>
      <w:r>
        <w:rPr>
          <w:rFonts w:hint="eastAsia" w:ascii="方正仿宋_GB2312" w:hAnsi="方正仿宋_GB2312" w:eastAsia="方正仿宋_GB2312" w:cs="方正仿宋_GB2312"/>
          <w:color w:val="auto"/>
          <w:kern w:val="0"/>
          <w:sz w:val="32"/>
          <w:szCs w:val="32"/>
          <w:highlight w:val="none"/>
          <w:lang w:val="en-US" w:eastAsia="zh-CN" w:bidi="ar-SA"/>
        </w:rPr>
        <w:t>（1）</w:t>
      </w:r>
      <w:r>
        <w:rPr>
          <w:rFonts w:hint="default" w:ascii="方正仿宋_GB2312" w:hAnsi="方正仿宋_GB2312" w:eastAsia="方正仿宋_GB2312" w:cs="方正仿宋_GB2312"/>
          <w:color w:val="auto"/>
          <w:kern w:val="0"/>
          <w:sz w:val="32"/>
          <w:szCs w:val="32"/>
          <w:highlight w:val="none"/>
          <w:lang w:val="en-US" w:eastAsia="zh-CN" w:bidi="ar-SA"/>
        </w:rPr>
        <w:t>供应商负责所投产品的安装、调试、部署及上线运行的全部工作，确保系统上线后正常运行</w:t>
      </w:r>
      <w:r>
        <w:rPr>
          <w:rFonts w:hint="eastAsia" w:ascii="方正仿宋_GB2312" w:hAnsi="方正仿宋_GB2312" w:eastAsia="方正仿宋_GB2312" w:cs="方正仿宋_GB2312"/>
          <w:color w:val="auto"/>
          <w:kern w:val="0"/>
          <w:sz w:val="32"/>
          <w:szCs w:val="32"/>
          <w:highlight w:val="none"/>
          <w:lang w:val="en-US" w:eastAsia="zh-CN" w:bidi="ar-SA"/>
        </w:rPr>
        <w:t>。</w:t>
      </w:r>
    </w:p>
    <w:p w14:paraId="007F9209">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w:t>
      </w:r>
      <w:r>
        <w:rPr>
          <w:rFonts w:hint="eastAsia" w:ascii="方正仿宋_GB2312" w:hAnsi="方正仿宋_GB2312" w:eastAsia="方正仿宋_GB2312" w:cs="方正仿宋_GB2312"/>
          <w:color w:val="auto"/>
          <w:kern w:val="0"/>
          <w:sz w:val="32"/>
          <w:szCs w:val="32"/>
          <w:highlight w:val="none"/>
          <w:lang w:val="en-US" w:eastAsia="zh-CN" w:bidi="ar-SA"/>
        </w:rPr>
        <w:t>（2）系统部署期间，供应商须制定详细实施方案及应急预案，确保采购人核心业务系统不间断运行；需要断网或重启设备操作的，须提前告知采购人，并安排在业务低峰期进行。</w:t>
      </w:r>
    </w:p>
    <w:p w14:paraId="4319AE02">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（3）部署完成后，供应商须对全部安全策略进行有效性验证测试，提交部署报告及系统配置文档，确保防护策略准确无误。</w:t>
      </w:r>
    </w:p>
    <w:p w14:paraId="18B71C90">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2.规则库升级服务</w:t>
      </w:r>
    </w:p>
    <w:p w14:paraId="5DF370F3">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w:t>
      </w:r>
      <w:r>
        <w:rPr>
          <w:rFonts w:hint="eastAsia" w:ascii="方正仿宋_GB2312" w:hAnsi="方正仿宋_GB2312" w:eastAsia="方正仿宋_GB2312" w:cs="方正仿宋_GB2312"/>
          <w:color w:val="auto"/>
          <w:kern w:val="0"/>
          <w:sz w:val="32"/>
          <w:szCs w:val="32"/>
          <w:highlight w:val="none"/>
          <w:lang w:val="en-US" w:eastAsia="zh-CN" w:bidi="ar-SA"/>
        </w:rPr>
        <w:t>（1）验收合格之日起，提供不少于3年规则库在线升级服务，确保防护规则持续更新，有效应对新出现的漏洞利用行为。</w:t>
      </w:r>
    </w:p>
    <w:p w14:paraId="150AF8CB">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（2）对于采购人临时通报的高危漏洞，供应商须在漏洞公开披露后72小时内提供应急防护规则或拦截策略，支持采购人快速应对。</w:t>
      </w:r>
    </w:p>
    <w:p w14:paraId="5EE0570A">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3.培训服务</w:t>
      </w:r>
    </w:p>
    <w:p w14:paraId="725BE93E">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（1）系统上线后，供应商须对采购人安全运维人员进行现场操作培训，培训内容包括：系统日常运维操作、告警日志分析研判、策略配置调整、黑白名单管理等。</w:t>
      </w:r>
    </w:p>
    <w:p w14:paraId="2D58AD76">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（2）通过培训，确保采购人相关操作人员培训后能够独立完成系统日常运维操作，具备安全事件基本处置能力。</w:t>
      </w:r>
    </w:p>
    <w:p w14:paraId="350932A9">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4.售后服务</w:t>
      </w:r>
    </w:p>
    <w:p w14:paraId="20F84B9D">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w:t>
      </w:r>
      <w:r>
        <w:rPr>
          <w:rFonts w:hint="eastAsia" w:ascii="方正仿宋_GB2312" w:hAnsi="方正仿宋_GB2312" w:eastAsia="方正仿宋_GB2312" w:cs="方正仿宋_GB2312"/>
          <w:color w:val="auto"/>
          <w:kern w:val="0"/>
          <w:sz w:val="32"/>
          <w:szCs w:val="32"/>
          <w:highlight w:val="none"/>
          <w:lang w:val="en-US" w:eastAsia="zh-CN" w:bidi="ar-SA"/>
        </w:rPr>
        <w:t>（1）质保期内，提供不少于3年软硬件质保服务及7×24小时技术支持服务。</w:t>
      </w:r>
    </w:p>
    <w:p w14:paraId="54EECAB5">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w:t>
      </w:r>
      <w:r>
        <w:rPr>
          <w:rFonts w:hint="eastAsia" w:ascii="方正仿宋_GB2312" w:hAnsi="方正仿宋_GB2312" w:eastAsia="方正仿宋_GB2312" w:cs="方正仿宋_GB2312"/>
          <w:color w:val="auto"/>
          <w:kern w:val="0"/>
          <w:sz w:val="32"/>
          <w:szCs w:val="32"/>
          <w:highlight w:val="none"/>
          <w:lang w:val="en-US" w:eastAsia="zh-CN" w:bidi="ar-SA"/>
        </w:rPr>
        <w:t>（2）电话响应≤30分钟；远程无法解决时，工程师须在4小时内到达采购人现场。</w:t>
      </w:r>
    </w:p>
    <w:p w14:paraId="5E61CABB">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w:t>
      </w:r>
      <w:r>
        <w:rPr>
          <w:rFonts w:hint="eastAsia" w:ascii="方正仿宋_GB2312" w:hAnsi="方正仿宋_GB2312" w:eastAsia="方正仿宋_GB2312" w:cs="方正仿宋_GB2312"/>
          <w:color w:val="auto"/>
          <w:kern w:val="0"/>
          <w:sz w:val="32"/>
          <w:szCs w:val="32"/>
          <w:highlight w:val="none"/>
          <w:lang w:val="en-US" w:eastAsia="zh-CN" w:bidi="ar-SA"/>
        </w:rPr>
        <w:t>（3）系统故障导致无法正常防护时，须在8小时内恢复系统正常运行；重大安全事件发生时，供应商须在2小时内响应，配合采购人进行应急处置和分析。</w:t>
      </w:r>
    </w:p>
    <w:p w14:paraId="68D610AA">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楷体_GB2312" w:eastAsia="楷体_GB2312" w:cstheme="minorBidi"/>
          <w:kern w:val="2"/>
          <w:sz w:val="32"/>
          <w:szCs w:val="32"/>
          <w:lang w:val="en-US" w:eastAsia="zh-CN" w:bidi="ar-SA"/>
        </w:rPr>
        <w:t>（二）其他要求</w:t>
      </w:r>
    </w:p>
    <w:p w14:paraId="0F437273">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w:t>
      </w:r>
      <w:r>
        <w:rPr>
          <w:rFonts w:hint="eastAsia" w:ascii="方正仿宋_GB2312" w:hAnsi="方正仿宋_GB2312" w:eastAsia="方正仿宋_GB2312" w:cs="方正仿宋_GB2312"/>
          <w:color w:val="auto"/>
          <w:kern w:val="0"/>
          <w:sz w:val="32"/>
          <w:szCs w:val="32"/>
          <w:highlight w:val="none"/>
          <w:lang w:val="en-US" w:eastAsia="zh-CN" w:bidi="ar-SA"/>
        </w:rPr>
        <w:t>（1）供应商及项目实施人员须遵守国家相关信息安全法律法规及采购人信息安全管理制度，包括但不限于《中华人民共和国网络安全法》《中华人民共和国数据安全法》，与采购人签订《数据安全与保密协议》。</w:t>
      </w:r>
    </w:p>
    <w:p w14:paraId="6A316B60">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（2）项目实施及运维过程中接触到的采购人网络拓扑、IP地址、业务系统信息、安全检测数据等，未经采购人书面同意不得向第三方披露。</w:t>
      </w:r>
    </w:p>
    <w:p w14:paraId="2D790206">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（3）报价须包含全部软件授权费、安装部署费、培训费、3年规则库升级费、3年质保服务费及税费等所有费用，采购人不再另行支付。</w:t>
      </w:r>
    </w:p>
    <w:p w14:paraId="5ACD5F3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063C9F9-A78C-40AE-8BCB-45729AD6AB40}"/>
  </w:font>
  <w:font w:name="方正仿宋_GB2312">
    <w:panose1 w:val="02000000000000000000"/>
    <w:charset w:val="86"/>
    <w:family w:val="auto"/>
    <w:pitch w:val="default"/>
    <w:sig w:usb0="A00002BF" w:usb1="184F6CFA" w:usb2="00000012" w:usb3="00000000" w:csb0="00040001" w:csb1="00000000"/>
    <w:embedRegular r:id="rId2" w:fontKey="{6F2B1B62-347E-4E3D-A6BA-31132937C29A}"/>
  </w:font>
  <w:font w:name="楷体_GB2312">
    <w:altName w:val="楷体"/>
    <w:panose1 w:val="02010609030101010101"/>
    <w:charset w:val="86"/>
    <w:family w:val="modern"/>
    <w:pitch w:val="default"/>
    <w:sig w:usb0="00000000" w:usb1="00000000" w:usb2="00000010" w:usb3="00000000" w:csb0="00040000" w:csb1="00000000"/>
    <w:embedRegular r:id="rId3" w:fontKey="{23B54E8B-EF10-44BF-BBE1-AE8555ED62A3}"/>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4" w:fontKey="{5B9352DB-497F-45CD-BD51-039F736A5FC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63FC9B"/>
    <w:multiLevelType w:val="singleLevel"/>
    <w:tmpl w:val="9763FC9B"/>
    <w:lvl w:ilvl="0" w:tentative="0">
      <w:start w:val="1"/>
      <w:numFmt w:val="chineseCounting"/>
      <w:suff w:val="nothing"/>
      <w:lvlText w:val="（%1）"/>
      <w:lvlJc w:val="left"/>
      <w:rPr>
        <w:rFonts w:hint="eastAsia"/>
      </w:rPr>
    </w:lvl>
  </w:abstractNum>
  <w:abstractNum w:abstractNumId="1">
    <w:nsid w:val="7EFBB6DE"/>
    <w:multiLevelType w:val="singleLevel"/>
    <w:tmpl w:val="7EFBB6DE"/>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A66660"/>
    <w:rsid w:val="0FA66660"/>
    <w:rsid w:val="3C2575BE"/>
    <w:rsid w:val="71C67CEF"/>
    <w:rsid w:val="79016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1755</Words>
  <Characters>1850</Characters>
  <Lines>0</Lines>
  <Paragraphs>0</Paragraphs>
  <TotalTime>0</TotalTime>
  <ScaleCrop>false</ScaleCrop>
  <LinksUpToDate>false</LinksUpToDate>
  <CharactersWithSpaces>1852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2026-09-02T03:36:00Z</dcterms:created>
  <dc:creator>严梦</dc:creator>
  <cp:lastModifiedBy>严梦</cp:lastModifiedBy>
  <dcterms:modified xsi:type="dcterms:W3CDTF">2026-09-09T00:18:07Z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DE71A66D98D04E16861C1267298A9176_11</vt:lpwstr>
  </property>
  <property fmtid="{D5CDD505-2E9C-101B-9397-08002B2CF9AE}" pid="4" name="KSOTemplateDocerSaveRecord">
    <vt:lpwstr>eyJoZGlkIjoiN2IwMmVmZTBjZjZkM2M1NWM3NTZhNzg2MTJkMmRjZDkiLCJ1c2VySWQiOiIxNzAzMzE3OTU1In0=</vt:lpwstr>
  </property>
</Properties>
</file>