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07EB2C" w14:textId="2821D2A6" w:rsidR="00A42D3B" w:rsidRDefault="00507D1F">
      <w:pPr>
        <w:pStyle w:val="1"/>
        <w:keepNext w:val="0"/>
        <w:keepLines w:val="0"/>
        <w:adjustRightInd w:val="0"/>
        <w:snapToGrid w:val="0"/>
        <w:spacing w:before="0" w:after="0" w:line="500" w:lineRule="exact"/>
        <w:jc w:val="center"/>
        <w:rPr>
          <w:rFonts w:ascii="方正小标宋简体" w:eastAsia="方正小标宋简体" w:hAnsi="方正小标宋简体" w:cs="方正小标宋简体"/>
          <w:b w:val="0"/>
          <w:sz w:val="40"/>
          <w:szCs w:val="40"/>
        </w:rPr>
      </w:pPr>
      <w:r>
        <w:rPr>
          <w:rFonts w:ascii="方正小标宋简体" w:eastAsia="方正小标宋简体" w:hAnsi="方正小标宋简体" w:cs="方正小标宋简体" w:hint="eastAsia"/>
          <w:b w:val="0"/>
          <w:sz w:val="40"/>
          <w:szCs w:val="40"/>
        </w:rPr>
        <w:t>广元市中心医院妇儿分院</w:t>
      </w:r>
    </w:p>
    <w:p w14:paraId="2607EB2D" w14:textId="72364C81" w:rsidR="00A42D3B" w:rsidRDefault="00507D1F">
      <w:pPr>
        <w:pStyle w:val="1"/>
        <w:keepNext w:val="0"/>
        <w:keepLines w:val="0"/>
        <w:adjustRightInd w:val="0"/>
        <w:snapToGrid w:val="0"/>
        <w:spacing w:before="0" w:after="0" w:line="500" w:lineRule="exact"/>
        <w:jc w:val="center"/>
        <w:rPr>
          <w:rFonts w:ascii="仿宋_GB2312" w:eastAsia="仿宋_GB2312" w:hAnsi="仿宋_GB2312" w:cs="仿宋_GB2312"/>
          <w:bCs w:val="0"/>
          <w:sz w:val="32"/>
          <w:szCs w:val="32"/>
        </w:rPr>
      </w:pPr>
      <w:r>
        <w:rPr>
          <w:rFonts w:ascii="方正小标宋简体" w:eastAsia="方正小标宋简体" w:hAnsi="方正小标宋简体" w:cs="方正小标宋简体" w:hint="eastAsia"/>
          <w:b w:val="0"/>
          <w:sz w:val="40"/>
          <w:szCs w:val="40"/>
        </w:rPr>
        <w:t>约克冷水机组维护保养服务内容及要求</w:t>
      </w:r>
    </w:p>
    <w:p w14:paraId="2607EB2E" w14:textId="77777777" w:rsidR="00A42D3B" w:rsidRDefault="00A42D3B">
      <w:pPr>
        <w:tabs>
          <w:tab w:val="left" w:pos="0"/>
          <w:tab w:val="left" w:pos="362"/>
          <w:tab w:val="left" w:pos="3647"/>
          <w:tab w:val="center" w:pos="5224"/>
        </w:tabs>
        <w:wordWrap w:val="0"/>
        <w:topLinePunct/>
        <w:adjustRightInd w:val="0"/>
        <w:snapToGrid w:val="0"/>
        <w:spacing w:line="440" w:lineRule="exact"/>
        <w:ind w:firstLineChars="200" w:firstLine="643"/>
        <w:jc w:val="center"/>
        <w:rPr>
          <w:rFonts w:ascii="仿宋_GB2312" w:eastAsia="仿宋_GB2312" w:hAnsi="仿宋_GB2312" w:cs="仿宋_GB2312"/>
          <w:b/>
          <w:bCs/>
          <w:kern w:val="2"/>
          <w:sz w:val="32"/>
          <w:szCs w:val="32"/>
        </w:rPr>
      </w:pPr>
    </w:p>
    <w:p w14:paraId="2607EB2F" w14:textId="77777777" w:rsidR="00A42D3B" w:rsidRDefault="00507D1F">
      <w:pPr>
        <w:tabs>
          <w:tab w:val="left" w:pos="0"/>
          <w:tab w:val="left" w:pos="362"/>
          <w:tab w:val="left" w:pos="3647"/>
          <w:tab w:val="center" w:pos="5224"/>
        </w:tabs>
        <w:topLinePunct/>
        <w:adjustRightInd w:val="0"/>
        <w:snapToGrid w:val="0"/>
        <w:spacing w:line="360" w:lineRule="auto"/>
        <w:jc w:val="left"/>
        <w:rPr>
          <w:rFonts w:ascii="仿宋_GB2312" w:eastAsia="仿宋_GB2312" w:hAnsi="仿宋_GB2312" w:cs="仿宋_GB2312"/>
          <w:b/>
          <w:bCs/>
          <w:kern w:val="2"/>
          <w:sz w:val="28"/>
          <w:szCs w:val="28"/>
        </w:rPr>
      </w:pPr>
      <w:r>
        <w:rPr>
          <w:rFonts w:ascii="仿宋_GB2312" w:eastAsia="仿宋_GB2312" w:hAnsi="仿宋_GB2312" w:cs="仿宋_GB2312" w:hint="eastAsia"/>
          <w:b/>
          <w:bCs/>
          <w:kern w:val="2"/>
          <w:sz w:val="28"/>
          <w:szCs w:val="28"/>
        </w:rPr>
        <w:t>一、服务内容及要求</w:t>
      </w:r>
    </w:p>
    <w:p w14:paraId="2607EB30" w14:textId="77777777" w:rsidR="00A42D3B" w:rsidRDefault="00507D1F">
      <w:pPr>
        <w:pStyle w:val="3"/>
        <w:numPr>
          <w:ilvl w:val="2"/>
          <w:numId w:val="0"/>
        </w:numPr>
        <w:tabs>
          <w:tab w:val="left" w:pos="709"/>
          <w:tab w:val="left" w:pos="851"/>
          <w:tab w:val="left" w:pos="5269"/>
        </w:tabs>
        <w:spacing w:line="440" w:lineRule="exact"/>
        <w:rPr>
          <w:rFonts w:ascii="仿宋_GB2312" w:eastAsia="仿宋_GB2312" w:hAnsi="仿宋_GB2312" w:cs="仿宋_GB2312"/>
          <w:sz w:val="24"/>
          <w:szCs w:val="24"/>
        </w:rPr>
      </w:pPr>
      <w:bookmarkStart w:id="0" w:name="_Toc269717603"/>
      <w:bookmarkStart w:id="1" w:name="_Toc468725724"/>
      <w:r>
        <w:rPr>
          <w:rFonts w:ascii="仿宋_GB2312" w:eastAsia="仿宋_GB2312" w:hAnsi="仿宋_GB2312" w:cs="仿宋_GB2312" w:hint="eastAsia"/>
          <w:sz w:val="24"/>
          <w:szCs w:val="24"/>
        </w:rPr>
        <w:t>1.中央空调系统维保设备清单</w:t>
      </w:r>
      <w:bookmarkEnd w:id="0"/>
      <w:bookmarkEnd w:id="1"/>
    </w:p>
    <w:tbl>
      <w:tblPr>
        <w:tblW w:w="5126" w:type="pct"/>
        <w:tblInd w:w="-5" w:type="dxa"/>
        <w:tblLayout w:type="fixed"/>
        <w:tblLook w:val="04A0" w:firstRow="1" w:lastRow="0" w:firstColumn="1" w:lastColumn="0" w:noHBand="0" w:noVBand="1"/>
      </w:tblPr>
      <w:tblGrid>
        <w:gridCol w:w="533"/>
        <w:gridCol w:w="2351"/>
        <w:gridCol w:w="2829"/>
        <w:gridCol w:w="680"/>
        <w:gridCol w:w="680"/>
        <w:gridCol w:w="1432"/>
      </w:tblGrid>
      <w:tr w:rsidR="00A42D3B" w14:paraId="2607EB37" w14:textId="77777777">
        <w:trPr>
          <w:trHeight w:val="740"/>
        </w:trPr>
        <w:tc>
          <w:tcPr>
            <w:tcW w:w="313" w:type="pct"/>
            <w:tcBorders>
              <w:top w:val="single" w:sz="4" w:space="0" w:color="auto"/>
              <w:left w:val="single" w:sz="4" w:space="0" w:color="auto"/>
              <w:bottom w:val="single" w:sz="4" w:space="0" w:color="auto"/>
              <w:right w:val="single" w:sz="4" w:space="0" w:color="auto"/>
            </w:tcBorders>
            <w:shd w:val="clear" w:color="auto" w:fill="auto"/>
            <w:vAlign w:val="center"/>
          </w:tcPr>
          <w:p w14:paraId="2607EB31" w14:textId="77777777" w:rsidR="00A42D3B" w:rsidRDefault="00507D1F">
            <w:pPr>
              <w:widowControl/>
              <w:spacing w:line="44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序号</w:t>
            </w:r>
          </w:p>
        </w:tc>
        <w:tc>
          <w:tcPr>
            <w:tcW w:w="1382" w:type="pct"/>
            <w:tcBorders>
              <w:top w:val="single" w:sz="4" w:space="0" w:color="auto"/>
              <w:left w:val="nil"/>
              <w:bottom w:val="single" w:sz="4" w:space="0" w:color="auto"/>
              <w:right w:val="single" w:sz="4" w:space="0" w:color="auto"/>
            </w:tcBorders>
            <w:shd w:val="clear" w:color="auto" w:fill="auto"/>
            <w:vAlign w:val="center"/>
          </w:tcPr>
          <w:p w14:paraId="2607EB32" w14:textId="77777777" w:rsidR="00A42D3B" w:rsidRDefault="00507D1F">
            <w:pPr>
              <w:widowControl/>
              <w:spacing w:line="44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设备名称</w:t>
            </w:r>
          </w:p>
        </w:tc>
        <w:tc>
          <w:tcPr>
            <w:tcW w:w="1663" w:type="pct"/>
            <w:tcBorders>
              <w:top w:val="single" w:sz="4" w:space="0" w:color="auto"/>
              <w:left w:val="nil"/>
              <w:bottom w:val="single" w:sz="4" w:space="0" w:color="auto"/>
              <w:right w:val="single" w:sz="4" w:space="0" w:color="auto"/>
            </w:tcBorders>
            <w:shd w:val="clear" w:color="auto" w:fill="auto"/>
            <w:vAlign w:val="center"/>
          </w:tcPr>
          <w:p w14:paraId="2607EB33" w14:textId="77777777" w:rsidR="00A42D3B" w:rsidRDefault="00507D1F">
            <w:pPr>
              <w:widowControl/>
              <w:spacing w:line="44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设备型号</w:t>
            </w:r>
          </w:p>
        </w:tc>
        <w:tc>
          <w:tcPr>
            <w:tcW w:w="400" w:type="pct"/>
            <w:tcBorders>
              <w:top w:val="single" w:sz="4" w:space="0" w:color="auto"/>
              <w:left w:val="nil"/>
              <w:bottom w:val="single" w:sz="4" w:space="0" w:color="auto"/>
              <w:right w:val="single" w:sz="4" w:space="0" w:color="auto"/>
            </w:tcBorders>
            <w:shd w:val="clear" w:color="auto" w:fill="auto"/>
            <w:vAlign w:val="center"/>
          </w:tcPr>
          <w:p w14:paraId="2607EB34" w14:textId="77777777" w:rsidR="00A42D3B" w:rsidRDefault="00507D1F">
            <w:pPr>
              <w:widowControl/>
              <w:spacing w:line="44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单位</w:t>
            </w:r>
          </w:p>
        </w:tc>
        <w:tc>
          <w:tcPr>
            <w:tcW w:w="400" w:type="pct"/>
            <w:tcBorders>
              <w:top w:val="single" w:sz="4" w:space="0" w:color="auto"/>
              <w:left w:val="nil"/>
              <w:bottom w:val="single" w:sz="4" w:space="0" w:color="auto"/>
              <w:right w:val="single" w:sz="4" w:space="0" w:color="auto"/>
            </w:tcBorders>
            <w:shd w:val="clear" w:color="auto" w:fill="auto"/>
            <w:vAlign w:val="center"/>
          </w:tcPr>
          <w:p w14:paraId="2607EB35" w14:textId="77777777" w:rsidR="00A42D3B" w:rsidRDefault="00507D1F">
            <w:pPr>
              <w:widowControl/>
              <w:spacing w:line="44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数量</w:t>
            </w:r>
          </w:p>
        </w:tc>
        <w:tc>
          <w:tcPr>
            <w:tcW w:w="842" w:type="pct"/>
            <w:tcBorders>
              <w:top w:val="single" w:sz="4" w:space="0" w:color="auto"/>
              <w:left w:val="nil"/>
              <w:bottom w:val="single" w:sz="4" w:space="0" w:color="auto"/>
              <w:right w:val="single" w:sz="4" w:space="0" w:color="auto"/>
            </w:tcBorders>
            <w:shd w:val="clear" w:color="auto" w:fill="auto"/>
            <w:vAlign w:val="center"/>
          </w:tcPr>
          <w:p w14:paraId="2607EB36" w14:textId="77777777" w:rsidR="00A42D3B" w:rsidRDefault="00507D1F">
            <w:pPr>
              <w:widowControl/>
              <w:spacing w:line="440" w:lineRule="exact"/>
              <w:jc w:val="center"/>
              <w:rPr>
                <w:rFonts w:ascii="仿宋_GB2312" w:eastAsia="仿宋_GB2312" w:hAnsi="仿宋_GB2312" w:cs="仿宋_GB2312"/>
                <w:b/>
                <w:bCs/>
                <w:sz w:val="24"/>
              </w:rPr>
            </w:pPr>
            <w:r>
              <w:rPr>
                <w:rFonts w:ascii="仿宋_GB2312" w:eastAsia="仿宋_GB2312" w:hAnsi="仿宋_GB2312" w:cs="仿宋_GB2312" w:hint="eastAsia"/>
                <w:b/>
                <w:bCs/>
                <w:sz w:val="24"/>
              </w:rPr>
              <w:t>备注</w:t>
            </w:r>
          </w:p>
        </w:tc>
      </w:tr>
      <w:tr w:rsidR="00A42D3B" w14:paraId="2607EB3E" w14:textId="77777777">
        <w:trPr>
          <w:trHeight w:val="385"/>
        </w:trPr>
        <w:tc>
          <w:tcPr>
            <w:tcW w:w="313" w:type="pct"/>
            <w:vMerge w:val="restart"/>
            <w:tcBorders>
              <w:top w:val="nil"/>
              <w:left w:val="single" w:sz="4" w:space="0" w:color="auto"/>
              <w:bottom w:val="single" w:sz="4" w:space="0" w:color="auto"/>
              <w:right w:val="single" w:sz="4" w:space="0" w:color="auto"/>
            </w:tcBorders>
            <w:shd w:val="clear" w:color="auto" w:fill="auto"/>
            <w:vAlign w:val="center"/>
          </w:tcPr>
          <w:p w14:paraId="2607EB38"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1382" w:type="pct"/>
            <w:tcBorders>
              <w:top w:val="nil"/>
              <w:left w:val="nil"/>
              <w:bottom w:val="single" w:sz="4" w:space="0" w:color="auto"/>
              <w:right w:val="single" w:sz="4" w:space="0" w:color="auto"/>
            </w:tcBorders>
            <w:shd w:val="clear" w:color="auto" w:fill="auto"/>
            <w:vAlign w:val="center"/>
          </w:tcPr>
          <w:p w14:paraId="2607EB39"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离心式冷水机组</w:t>
            </w:r>
          </w:p>
        </w:tc>
        <w:tc>
          <w:tcPr>
            <w:tcW w:w="1663" w:type="pct"/>
            <w:tcBorders>
              <w:top w:val="nil"/>
              <w:left w:val="nil"/>
              <w:bottom w:val="single" w:sz="4" w:space="0" w:color="auto"/>
              <w:right w:val="single" w:sz="4" w:space="0" w:color="auto"/>
            </w:tcBorders>
            <w:shd w:val="clear" w:color="auto" w:fill="auto"/>
            <w:vAlign w:val="center"/>
          </w:tcPr>
          <w:p w14:paraId="2607EB3A"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YK4F4RQ75ENH</w:t>
            </w:r>
          </w:p>
        </w:tc>
        <w:tc>
          <w:tcPr>
            <w:tcW w:w="400" w:type="pct"/>
            <w:tcBorders>
              <w:top w:val="nil"/>
              <w:left w:val="nil"/>
              <w:bottom w:val="single" w:sz="4" w:space="0" w:color="auto"/>
              <w:right w:val="single" w:sz="4" w:space="0" w:color="auto"/>
            </w:tcBorders>
            <w:shd w:val="clear" w:color="auto" w:fill="auto"/>
            <w:vAlign w:val="center"/>
          </w:tcPr>
          <w:p w14:paraId="2607EB3B"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台</w:t>
            </w:r>
          </w:p>
        </w:tc>
        <w:tc>
          <w:tcPr>
            <w:tcW w:w="400" w:type="pct"/>
            <w:tcBorders>
              <w:top w:val="nil"/>
              <w:left w:val="nil"/>
              <w:bottom w:val="single" w:sz="4" w:space="0" w:color="auto"/>
              <w:right w:val="single" w:sz="4" w:space="0" w:color="auto"/>
            </w:tcBorders>
            <w:shd w:val="clear" w:color="auto" w:fill="auto"/>
            <w:vAlign w:val="center"/>
          </w:tcPr>
          <w:p w14:paraId="2607EB3C"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842" w:type="pct"/>
            <w:tcBorders>
              <w:top w:val="nil"/>
              <w:left w:val="nil"/>
              <w:bottom w:val="single" w:sz="4" w:space="0" w:color="auto"/>
              <w:right w:val="single" w:sz="4" w:space="0" w:color="auto"/>
            </w:tcBorders>
            <w:shd w:val="clear" w:color="auto" w:fill="auto"/>
            <w:vAlign w:val="center"/>
          </w:tcPr>
          <w:p w14:paraId="2607EB3D" w14:textId="77777777" w:rsidR="00A42D3B" w:rsidRDefault="00507D1F">
            <w:pPr>
              <w:widowControl/>
              <w:spacing w:line="440" w:lineRule="exact"/>
              <w:jc w:val="left"/>
              <w:rPr>
                <w:rFonts w:ascii="仿宋_GB2312" w:eastAsia="仿宋_GB2312" w:hAnsi="仿宋_GB2312" w:cs="仿宋_GB2312"/>
                <w:sz w:val="24"/>
              </w:rPr>
            </w:pPr>
            <w:r>
              <w:rPr>
                <w:rFonts w:ascii="仿宋_GB2312" w:eastAsia="仿宋_GB2312" w:hAnsi="仿宋_GB2312" w:cs="仿宋_GB2312" w:hint="eastAsia"/>
                <w:sz w:val="24"/>
              </w:rPr>
              <w:t>一台定频、一台变频</w:t>
            </w:r>
          </w:p>
        </w:tc>
      </w:tr>
      <w:tr w:rsidR="00A42D3B" w14:paraId="2607EB45" w14:textId="77777777">
        <w:trPr>
          <w:trHeight w:val="807"/>
        </w:trPr>
        <w:tc>
          <w:tcPr>
            <w:tcW w:w="313" w:type="pct"/>
            <w:vMerge/>
            <w:tcBorders>
              <w:top w:val="nil"/>
              <w:left w:val="single" w:sz="4" w:space="0" w:color="auto"/>
              <w:bottom w:val="single" w:sz="4" w:space="0" w:color="auto"/>
              <w:right w:val="single" w:sz="4" w:space="0" w:color="auto"/>
            </w:tcBorders>
            <w:vAlign w:val="center"/>
          </w:tcPr>
          <w:p w14:paraId="2607EB3F" w14:textId="77777777" w:rsidR="00A42D3B" w:rsidRDefault="00A42D3B">
            <w:pPr>
              <w:widowControl/>
              <w:spacing w:line="440" w:lineRule="exact"/>
              <w:jc w:val="left"/>
              <w:rPr>
                <w:rFonts w:ascii="仿宋_GB2312" w:eastAsia="仿宋_GB2312" w:hAnsi="仿宋_GB2312" w:cs="仿宋_GB2312"/>
                <w:sz w:val="24"/>
              </w:rPr>
            </w:pPr>
          </w:p>
        </w:tc>
        <w:tc>
          <w:tcPr>
            <w:tcW w:w="1382" w:type="pct"/>
            <w:tcBorders>
              <w:top w:val="nil"/>
              <w:left w:val="nil"/>
              <w:bottom w:val="single" w:sz="4" w:space="0" w:color="auto"/>
              <w:right w:val="single" w:sz="4" w:space="0" w:color="auto"/>
            </w:tcBorders>
            <w:shd w:val="clear" w:color="auto" w:fill="auto"/>
            <w:vAlign w:val="center"/>
          </w:tcPr>
          <w:p w14:paraId="2607EB40"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螺杆式冷水机组</w:t>
            </w:r>
          </w:p>
        </w:tc>
        <w:tc>
          <w:tcPr>
            <w:tcW w:w="1663" w:type="pct"/>
            <w:tcBorders>
              <w:top w:val="nil"/>
              <w:left w:val="nil"/>
              <w:bottom w:val="single" w:sz="4" w:space="0" w:color="auto"/>
              <w:right w:val="single" w:sz="4" w:space="0" w:color="auto"/>
            </w:tcBorders>
            <w:shd w:val="clear" w:color="auto" w:fill="auto"/>
            <w:vAlign w:val="center"/>
          </w:tcPr>
          <w:p w14:paraId="2607EB41"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YEWS200HA50E</w:t>
            </w:r>
          </w:p>
        </w:tc>
        <w:tc>
          <w:tcPr>
            <w:tcW w:w="400" w:type="pct"/>
            <w:tcBorders>
              <w:top w:val="nil"/>
              <w:left w:val="nil"/>
              <w:bottom w:val="single" w:sz="4" w:space="0" w:color="auto"/>
              <w:right w:val="single" w:sz="4" w:space="0" w:color="auto"/>
            </w:tcBorders>
            <w:shd w:val="clear" w:color="auto" w:fill="auto"/>
            <w:vAlign w:val="center"/>
          </w:tcPr>
          <w:p w14:paraId="2607EB42"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台</w:t>
            </w:r>
          </w:p>
        </w:tc>
        <w:tc>
          <w:tcPr>
            <w:tcW w:w="400" w:type="pct"/>
            <w:tcBorders>
              <w:top w:val="nil"/>
              <w:left w:val="nil"/>
              <w:bottom w:val="single" w:sz="4" w:space="0" w:color="auto"/>
              <w:right w:val="single" w:sz="4" w:space="0" w:color="auto"/>
            </w:tcBorders>
            <w:shd w:val="clear" w:color="auto" w:fill="auto"/>
            <w:vAlign w:val="center"/>
          </w:tcPr>
          <w:p w14:paraId="2607EB43"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842" w:type="pct"/>
            <w:tcBorders>
              <w:top w:val="nil"/>
              <w:left w:val="nil"/>
              <w:bottom w:val="single" w:sz="4" w:space="0" w:color="auto"/>
              <w:right w:val="single" w:sz="4" w:space="0" w:color="auto"/>
            </w:tcBorders>
            <w:shd w:val="clear" w:color="auto" w:fill="auto"/>
            <w:vAlign w:val="center"/>
          </w:tcPr>
          <w:p w14:paraId="2607EB44"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w:t>
            </w:r>
          </w:p>
        </w:tc>
      </w:tr>
      <w:tr w:rsidR="00A42D3B" w14:paraId="2607EB4D" w14:textId="77777777">
        <w:trPr>
          <w:trHeight w:val="385"/>
        </w:trPr>
        <w:tc>
          <w:tcPr>
            <w:tcW w:w="313" w:type="pct"/>
            <w:tcBorders>
              <w:top w:val="nil"/>
              <w:left w:val="single" w:sz="4" w:space="0" w:color="auto"/>
              <w:bottom w:val="single" w:sz="4" w:space="0" w:color="auto"/>
              <w:right w:val="single" w:sz="4" w:space="0" w:color="auto"/>
            </w:tcBorders>
            <w:shd w:val="clear" w:color="auto" w:fill="auto"/>
            <w:vAlign w:val="center"/>
          </w:tcPr>
          <w:p w14:paraId="2607EB46"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1382" w:type="pct"/>
            <w:tcBorders>
              <w:top w:val="nil"/>
              <w:left w:val="nil"/>
              <w:bottom w:val="single" w:sz="4" w:space="0" w:color="auto"/>
              <w:right w:val="single" w:sz="4" w:space="0" w:color="auto"/>
            </w:tcBorders>
            <w:shd w:val="clear" w:color="auto" w:fill="auto"/>
            <w:vAlign w:val="center"/>
          </w:tcPr>
          <w:p w14:paraId="2607EB47"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冷却塔</w:t>
            </w:r>
          </w:p>
        </w:tc>
        <w:tc>
          <w:tcPr>
            <w:tcW w:w="1663" w:type="pct"/>
            <w:tcBorders>
              <w:top w:val="nil"/>
              <w:left w:val="nil"/>
              <w:bottom w:val="single" w:sz="4" w:space="0" w:color="auto"/>
              <w:right w:val="single" w:sz="4" w:space="0" w:color="auto"/>
            </w:tcBorders>
            <w:shd w:val="clear" w:color="auto" w:fill="auto"/>
            <w:vAlign w:val="center"/>
          </w:tcPr>
          <w:p w14:paraId="2607EB48"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康明冷却塔</w:t>
            </w:r>
          </w:p>
        </w:tc>
        <w:tc>
          <w:tcPr>
            <w:tcW w:w="400" w:type="pct"/>
            <w:tcBorders>
              <w:top w:val="nil"/>
              <w:left w:val="nil"/>
              <w:bottom w:val="single" w:sz="4" w:space="0" w:color="auto"/>
              <w:right w:val="single" w:sz="4" w:space="0" w:color="auto"/>
            </w:tcBorders>
            <w:shd w:val="clear" w:color="auto" w:fill="auto"/>
            <w:vAlign w:val="center"/>
          </w:tcPr>
          <w:p w14:paraId="2607EB49"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组</w:t>
            </w:r>
          </w:p>
        </w:tc>
        <w:tc>
          <w:tcPr>
            <w:tcW w:w="400" w:type="pct"/>
            <w:tcBorders>
              <w:top w:val="nil"/>
              <w:left w:val="nil"/>
              <w:bottom w:val="single" w:sz="4" w:space="0" w:color="auto"/>
              <w:right w:val="single" w:sz="4" w:space="0" w:color="auto"/>
            </w:tcBorders>
            <w:shd w:val="clear" w:color="auto" w:fill="auto"/>
            <w:vAlign w:val="center"/>
          </w:tcPr>
          <w:p w14:paraId="2607EB4A" w14:textId="77777777" w:rsidR="00A42D3B" w:rsidRDefault="00507D1F">
            <w:pPr>
              <w:widowControl/>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842" w:type="pct"/>
            <w:tcBorders>
              <w:top w:val="nil"/>
              <w:left w:val="nil"/>
              <w:bottom w:val="single" w:sz="4" w:space="0" w:color="auto"/>
              <w:right w:val="single" w:sz="4" w:space="0" w:color="auto"/>
            </w:tcBorders>
            <w:shd w:val="clear" w:color="auto" w:fill="auto"/>
            <w:vAlign w:val="center"/>
          </w:tcPr>
          <w:p w14:paraId="2607EB4B" w14:textId="77777777" w:rsidR="00A42D3B" w:rsidRDefault="00507D1F">
            <w:pPr>
              <w:widowControl/>
              <w:spacing w:line="440" w:lineRule="exact"/>
              <w:rPr>
                <w:rFonts w:ascii="仿宋_GB2312" w:eastAsia="仿宋_GB2312" w:hAnsi="仿宋_GB2312" w:cs="仿宋_GB2312"/>
                <w:sz w:val="24"/>
              </w:rPr>
            </w:pPr>
            <w:r>
              <w:rPr>
                <w:rFonts w:ascii="仿宋_GB2312" w:eastAsia="仿宋_GB2312" w:hAnsi="仿宋_GB2312" w:cs="仿宋_GB2312" w:hint="eastAsia"/>
                <w:sz w:val="24"/>
              </w:rPr>
              <w:t>437m3/h流量两台；</w:t>
            </w:r>
          </w:p>
          <w:p w14:paraId="2607EB4C" w14:textId="77777777" w:rsidR="00A42D3B" w:rsidRDefault="00507D1F">
            <w:pPr>
              <w:widowControl/>
              <w:spacing w:line="440" w:lineRule="exact"/>
              <w:rPr>
                <w:rFonts w:ascii="仿宋_GB2312" w:eastAsia="仿宋_GB2312" w:hAnsi="仿宋_GB2312" w:cs="仿宋_GB2312"/>
              </w:rPr>
            </w:pPr>
            <w:r>
              <w:rPr>
                <w:rFonts w:ascii="仿宋_GB2312" w:eastAsia="仿宋_GB2312" w:hAnsi="仿宋_GB2312" w:cs="仿宋_GB2312" w:hint="eastAsia"/>
                <w:sz w:val="24"/>
              </w:rPr>
              <w:t>205m3/h流量一台；</w:t>
            </w:r>
          </w:p>
        </w:tc>
      </w:tr>
    </w:tbl>
    <w:p w14:paraId="2607EB4E" w14:textId="77777777" w:rsidR="00A42D3B" w:rsidRDefault="00507D1F">
      <w:pPr>
        <w:spacing w:line="440" w:lineRule="exact"/>
        <w:rPr>
          <w:rFonts w:ascii="仿宋_GB2312" w:eastAsia="仿宋_GB2312" w:hAnsi="仿宋_GB2312" w:cs="仿宋_GB2312"/>
          <w:b/>
          <w:bCs/>
          <w:vanish/>
          <w:sz w:val="24"/>
        </w:rPr>
      </w:pPr>
      <w:bookmarkStart w:id="2" w:name="_Toc269470743"/>
      <w:bookmarkStart w:id="3" w:name="_Toc269470747"/>
      <w:bookmarkStart w:id="4" w:name="_Toc269470739"/>
      <w:bookmarkStart w:id="5" w:name="_Toc269470738"/>
      <w:bookmarkStart w:id="6" w:name="_Toc269470746"/>
      <w:bookmarkStart w:id="7" w:name="_Toc269470742"/>
      <w:bookmarkStart w:id="8" w:name="_Toc269470749"/>
      <w:bookmarkStart w:id="9" w:name="_Toc269470748"/>
      <w:bookmarkStart w:id="10" w:name="_Toc269470745"/>
      <w:bookmarkStart w:id="11" w:name="_Toc269470737"/>
      <w:bookmarkStart w:id="12" w:name="_Toc269470740"/>
      <w:bookmarkStart w:id="13" w:name="_Toc269470744"/>
      <w:bookmarkStart w:id="14" w:name="_Toc269470741"/>
      <w:bookmarkEnd w:id="2"/>
      <w:bookmarkEnd w:id="3"/>
      <w:bookmarkEnd w:id="4"/>
      <w:bookmarkEnd w:id="5"/>
      <w:bookmarkEnd w:id="6"/>
      <w:bookmarkEnd w:id="7"/>
      <w:bookmarkEnd w:id="8"/>
      <w:bookmarkEnd w:id="9"/>
      <w:bookmarkEnd w:id="10"/>
      <w:bookmarkEnd w:id="11"/>
      <w:bookmarkEnd w:id="12"/>
      <w:bookmarkEnd w:id="13"/>
      <w:bookmarkEnd w:id="14"/>
      <w:r>
        <w:rPr>
          <w:rFonts w:ascii="仿宋_GB2312" w:eastAsia="仿宋_GB2312" w:hAnsi="仿宋_GB2312" w:cs="仿宋_GB2312" w:hint="eastAsia"/>
          <w:sz w:val="24"/>
        </w:rPr>
        <w:t>★</w:t>
      </w:r>
    </w:p>
    <w:p w14:paraId="2607EB4F" w14:textId="77777777" w:rsidR="00A42D3B" w:rsidRDefault="00507D1F">
      <w:pPr>
        <w:spacing w:before="120" w:line="440" w:lineRule="exact"/>
        <w:rPr>
          <w:rFonts w:ascii="仿宋_GB2312" w:eastAsia="仿宋_GB2312" w:hAnsi="仿宋_GB2312" w:cs="仿宋_GB2312"/>
          <w:b/>
          <w:bCs/>
          <w:sz w:val="24"/>
        </w:rPr>
      </w:pPr>
      <w:r>
        <w:rPr>
          <w:rFonts w:ascii="仿宋_GB2312" w:eastAsia="仿宋_GB2312" w:hAnsi="仿宋_GB2312" w:cs="仿宋_GB2312" w:hint="eastAsia"/>
          <w:b/>
          <w:bCs/>
          <w:sz w:val="24"/>
        </w:rPr>
        <w:t>2.维护保养项目内容及技术要求（响应供应商需针对该项所有内容及要求单独提供承诺函，否则视为无效报价）</w:t>
      </w:r>
    </w:p>
    <w:p w14:paraId="2607EB50" w14:textId="77777777" w:rsidR="00A42D3B" w:rsidRDefault="00A42D3B">
      <w:pPr>
        <w:spacing w:line="440" w:lineRule="exact"/>
        <w:rPr>
          <w:rFonts w:ascii="仿宋_GB2312" w:eastAsia="仿宋_GB2312" w:hAnsi="仿宋_GB2312" w:cs="仿宋_GB2312"/>
          <w:b/>
          <w:bCs/>
          <w:vanish/>
          <w:sz w:val="24"/>
        </w:rPr>
      </w:pPr>
      <w:bookmarkStart w:id="15" w:name="_Toc269717608"/>
      <w:bookmarkStart w:id="16" w:name="_Toc468725728"/>
    </w:p>
    <w:p w14:paraId="2607EB51" w14:textId="77777777" w:rsidR="00A42D3B" w:rsidRDefault="00A42D3B">
      <w:pPr>
        <w:spacing w:line="440" w:lineRule="exact"/>
        <w:rPr>
          <w:rFonts w:ascii="仿宋_GB2312" w:eastAsia="仿宋_GB2312" w:hAnsi="仿宋_GB2312" w:cs="仿宋_GB2312"/>
          <w:b/>
          <w:bCs/>
          <w:vanish/>
          <w:sz w:val="24"/>
        </w:rPr>
      </w:pPr>
    </w:p>
    <w:p w14:paraId="2607EB52" w14:textId="77777777" w:rsidR="00A42D3B" w:rsidRDefault="00A42D3B">
      <w:pPr>
        <w:spacing w:line="440" w:lineRule="exact"/>
        <w:rPr>
          <w:rFonts w:ascii="仿宋_GB2312" w:eastAsia="仿宋_GB2312" w:hAnsi="仿宋_GB2312" w:cs="仿宋_GB2312"/>
          <w:b/>
          <w:bCs/>
          <w:vanish/>
          <w:sz w:val="24"/>
        </w:rPr>
      </w:pPr>
    </w:p>
    <w:p w14:paraId="2607EB53" w14:textId="77777777" w:rsidR="00A42D3B" w:rsidRDefault="00A42D3B">
      <w:pPr>
        <w:spacing w:line="440" w:lineRule="exact"/>
        <w:rPr>
          <w:rFonts w:ascii="仿宋_GB2312" w:eastAsia="仿宋_GB2312" w:hAnsi="仿宋_GB2312" w:cs="仿宋_GB2312"/>
          <w:b/>
          <w:bCs/>
          <w:vanish/>
          <w:sz w:val="24"/>
        </w:rPr>
      </w:pPr>
    </w:p>
    <w:p w14:paraId="2607EB54" w14:textId="77777777" w:rsidR="00A42D3B" w:rsidRDefault="00507D1F">
      <w:pPr>
        <w:spacing w:line="440" w:lineRule="exact"/>
        <w:ind w:firstLineChars="100" w:firstLine="241"/>
        <w:rPr>
          <w:rFonts w:ascii="仿宋_GB2312" w:eastAsia="仿宋_GB2312" w:hAnsi="仿宋_GB2312" w:cs="仿宋_GB2312"/>
          <w:sz w:val="24"/>
        </w:rPr>
      </w:pPr>
      <w:r>
        <w:rPr>
          <w:rFonts w:ascii="仿宋_GB2312" w:eastAsia="仿宋_GB2312" w:hAnsi="仿宋_GB2312" w:cs="仿宋_GB2312" w:hint="eastAsia"/>
          <w:b/>
          <w:sz w:val="24"/>
        </w:rPr>
        <w:t>2.1中央空调维护保养内容</w:t>
      </w:r>
      <w:bookmarkEnd w:id="15"/>
      <w:bookmarkEnd w:id="16"/>
    </w:p>
    <w:p w14:paraId="2607EB55" w14:textId="77777777" w:rsidR="00A42D3B" w:rsidRDefault="00507D1F">
      <w:pPr>
        <w:widowControl/>
        <w:spacing w:line="440" w:lineRule="exact"/>
        <w:jc w:val="left"/>
        <w:rPr>
          <w:rFonts w:ascii="仿宋_GB2312" w:eastAsia="仿宋_GB2312" w:hAnsi="仿宋_GB2312" w:cs="仿宋_GB2312"/>
          <w:sz w:val="24"/>
        </w:rPr>
      </w:pPr>
      <w:r>
        <w:rPr>
          <w:rFonts w:ascii="仿宋_GB2312" w:eastAsia="仿宋_GB2312" w:hAnsi="仿宋_GB2312" w:cs="仿宋_GB2312" w:hint="eastAsia"/>
          <w:sz w:val="24"/>
        </w:rPr>
        <w:t>（1）运行季节每月检测和保养主机、冷却塔。</w:t>
      </w:r>
    </w:p>
    <w:p w14:paraId="2607EB5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（2）机组运行发生故障时，维保人员需在4小时内到现场；对非人为导致的故障以及非不可抗力的自然灾害导致的机组故障进行全包维修，包括配件、人工以及可能产生的吊装费用、运输费用等。</w:t>
      </w:r>
    </w:p>
    <w:p w14:paraId="2607EB5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（3）每年做一次第三方的冷冻油油品检测，若冷冻油不满足机组出厂时厂家要求则进行更换，由成交供应商负责冷冻油的更换费用。</w:t>
      </w:r>
    </w:p>
    <w:p w14:paraId="2607EB58" w14:textId="77777777" w:rsidR="00A42D3B" w:rsidRPr="000D4379" w:rsidRDefault="00507D1F">
      <w:pPr>
        <w:spacing w:before="120" w:line="440" w:lineRule="exact"/>
        <w:ind w:firstLineChars="100" w:firstLine="241"/>
        <w:rPr>
          <w:rFonts w:ascii="仿宋_GB2312" w:eastAsia="仿宋_GB2312" w:hAnsi="仿宋_GB2312" w:cs="仿宋_GB2312"/>
          <w:b/>
          <w:bCs/>
          <w:sz w:val="24"/>
        </w:rPr>
      </w:pPr>
      <w:bookmarkStart w:id="17" w:name="_Toc468725729"/>
      <w:bookmarkStart w:id="18" w:name="_Toc269717609"/>
      <w:bookmarkStart w:id="19" w:name="_GoBack"/>
      <w:bookmarkEnd w:id="19"/>
      <w:r w:rsidRPr="000D4379">
        <w:rPr>
          <w:rFonts w:ascii="仿宋_GB2312" w:eastAsia="仿宋_GB2312" w:hAnsi="仿宋_GB2312" w:cs="仿宋_GB2312" w:hint="eastAsia"/>
          <w:b/>
          <w:bCs/>
          <w:sz w:val="24"/>
        </w:rPr>
        <w:t>2.2维护要求</w:t>
      </w:r>
      <w:bookmarkEnd w:id="17"/>
      <w:bookmarkEnd w:id="18"/>
      <w:r w:rsidRPr="000D4379">
        <w:rPr>
          <w:rFonts w:ascii="仿宋_GB2312" w:eastAsia="仿宋_GB2312" w:hAnsi="仿宋_GB2312" w:cs="仿宋_GB2312" w:hint="eastAsia"/>
          <w:b/>
          <w:bCs/>
          <w:sz w:val="24"/>
        </w:rPr>
        <w:t> </w:t>
      </w:r>
    </w:p>
    <w:p w14:paraId="3340EA4D" w14:textId="77777777" w:rsidR="00A42D3B" w:rsidRDefault="00507D1F">
      <w:pPr>
        <w:numPr>
          <w:ilvl w:val="0"/>
          <w:numId w:val="3"/>
        </w:numPr>
        <w:spacing w:line="440" w:lineRule="exact"/>
        <w:rPr>
          <w:rFonts w:ascii="仿宋_GB2312" w:eastAsia="仿宋_GB2312" w:hAnsi="仿宋_GB2312" w:cs="仿宋_GB2312"/>
          <w:sz w:val="24"/>
        </w:rPr>
      </w:pPr>
      <w:r>
        <w:rPr>
          <w:rFonts w:ascii="仿宋_GB2312" w:eastAsia="仿宋_GB2312" w:hAnsi="仿宋_GB2312" w:cs="仿宋_GB2312" w:hint="eastAsia"/>
          <w:sz w:val="24"/>
        </w:rPr>
        <w:t>制订空调维护保养工作计划书，并组织、监督计划实施，最大限度地节能降耗。</w:t>
      </w:r>
    </w:p>
    <w:p w14:paraId="2607EB59" w14:textId="77777777" w:rsidR="00A42D3B" w:rsidRDefault="00507D1F">
      <w:pPr>
        <w:numPr>
          <w:ilvl w:val="0"/>
          <w:numId w:val="3"/>
        </w:numPr>
        <w:spacing w:line="440" w:lineRule="exact"/>
        <w:rPr>
          <w:rFonts w:ascii="仿宋_GB2312" w:eastAsia="仿宋_GB2312" w:hAnsi="仿宋_GB2312" w:cs="仿宋_GB2312"/>
          <w:sz w:val="24"/>
        </w:rPr>
      </w:pPr>
      <w:r>
        <w:rPr>
          <w:rFonts w:ascii="仿宋_GB2312" w:eastAsia="仿宋_GB2312" w:hAnsi="仿宋_GB2312" w:cs="仿宋_GB2312" w:hint="eastAsia"/>
          <w:sz w:val="24"/>
        </w:rPr>
        <w:t>开机前，分别对主机进行一次深度巡检，包括检查设备状态、紧固电气连接部位、测试控制系统、清洗冷凝器、设备表面的清洁等，确保设备在运行季节</w:t>
      </w:r>
      <w:r>
        <w:rPr>
          <w:rFonts w:ascii="仿宋_GB2312" w:eastAsia="仿宋_GB2312" w:hAnsi="仿宋_GB2312" w:cs="仿宋_GB2312" w:hint="eastAsia"/>
          <w:sz w:val="24"/>
        </w:rPr>
        <w:lastRenderedPageBreak/>
        <w:t>中的稳定运行，并提供深度巡检报告。</w:t>
      </w:r>
    </w:p>
    <w:p w14:paraId="2607EB5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（3）定期安排组织空调设备相关的培训。</w:t>
      </w:r>
    </w:p>
    <w:p w14:paraId="2607EB5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（4）及时处理使用单位的投拆以及紧急故障，一般故障应在到场后4小时内处理完毕。</w:t>
      </w:r>
    </w:p>
    <w:p w14:paraId="2607EB5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（5）维修所用主机零配件应为原厂合格产品，成交供应商应在响应文件中提供厂家零配件使用授权书，证明其购买配件渠道的正规性。更换的冷冻油以及机组的进口部件需提供报关单。</w:t>
      </w:r>
    </w:p>
    <w:p w14:paraId="2607EB5D"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（6）成交供应商的参保维修人员具有相应的资质，要求至少拥有制冷证、电工证且至少参加过一次所使用约克厂家的离心/螺杆机维修培训。</w:t>
      </w:r>
    </w:p>
    <w:p w14:paraId="2607EB5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（7）不能私自改动电气、电子线路、安全设置和设备零部件等。</w:t>
      </w:r>
    </w:p>
    <w:p w14:paraId="6588E9B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（8）维修保养时间由甲方规定，乙方必须配合。</w:t>
      </w:r>
    </w:p>
    <w:p w14:paraId="2607EB5F" w14:textId="77777777" w:rsidR="00A42D3B" w:rsidRDefault="00507D1F">
      <w:pPr>
        <w:spacing w:before="120" w:line="440" w:lineRule="exact"/>
        <w:rPr>
          <w:rFonts w:ascii="仿宋_GB2312" w:eastAsia="仿宋_GB2312" w:hAnsi="仿宋_GB2312" w:cs="仿宋_GB2312"/>
          <w:b/>
          <w:bCs/>
          <w:sz w:val="28"/>
          <w:szCs w:val="21"/>
        </w:rPr>
      </w:pPr>
      <w:r>
        <w:rPr>
          <w:rFonts w:ascii="仿宋_GB2312" w:eastAsia="仿宋_GB2312" w:hAnsi="仿宋_GB2312" w:cs="仿宋_GB2312" w:hint="eastAsia"/>
          <w:b/>
          <w:bCs/>
          <w:sz w:val="28"/>
          <w:szCs w:val="21"/>
        </w:rPr>
        <w:t>二、维护保养内容的基本要求</w:t>
      </w:r>
    </w:p>
    <w:p w14:paraId="2607EB60" w14:textId="77777777" w:rsidR="00A42D3B" w:rsidRDefault="00507D1F">
      <w:pPr>
        <w:spacing w:before="120" w:line="440" w:lineRule="exact"/>
        <w:rPr>
          <w:rFonts w:ascii="仿宋_GB2312" w:eastAsia="仿宋_GB2312" w:hAnsi="仿宋_GB2312" w:cs="仿宋_GB2312"/>
          <w:b/>
          <w:bCs/>
          <w:sz w:val="24"/>
          <w:szCs w:val="24"/>
        </w:rPr>
      </w:pPr>
      <w:r>
        <w:rPr>
          <w:rFonts w:ascii="仿宋_GB2312" w:eastAsia="仿宋_GB2312" w:hAnsi="仿宋_GB2312" w:cs="仿宋_GB2312" w:hint="eastAsia"/>
          <w:b/>
          <w:bCs/>
          <w:sz w:val="24"/>
          <w:szCs w:val="24"/>
        </w:rPr>
        <w:t>（一）冷水机组维保内容</w:t>
      </w:r>
    </w:p>
    <w:p w14:paraId="2607EB61" w14:textId="77777777" w:rsidR="00A42D3B" w:rsidRDefault="00507D1F">
      <w:pPr>
        <w:pStyle w:val="a7"/>
        <w:ind w:firstLineChars="100" w:firstLine="241"/>
        <w:rPr>
          <w:rFonts w:ascii="仿宋_GB2312" w:eastAsia="仿宋_GB2312" w:hAnsi="仿宋_GB2312" w:cs="仿宋_GB2312"/>
          <w:b/>
          <w:bCs/>
          <w:sz w:val="24"/>
        </w:rPr>
      </w:pPr>
      <w:r>
        <w:rPr>
          <w:rFonts w:ascii="仿宋_GB2312" w:eastAsia="仿宋_GB2312" w:hAnsi="仿宋_GB2312" w:cs="仿宋_GB2312" w:hint="eastAsia"/>
          <w:b/>
          <w:bCs/>
          <w:sz w:val="24"/>
        </w:rPr>
        <w:t>1.供冷季启动前的准备、检查要求：供冷季节运行前须进行下列各项（包括不限于）检查和准备，以确保机组可靠、安全、高效运行：</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2300"/>
        <w:gridCol w:w="5301"/>
      </w:tblGrid>
      <w:tr w:rsidR="00A42D3B" w14:paraId="2607EB65" w14:textId="77777777">
        <w:trPr>
          <w:trHeight w:val="568"/>
        </w:trPr>
        <w:tc>
          <w:tcPr>
            <w:tcW w:w="419" w:type="pct"/>
            <w:vAlign w:val="center"/>
          </w:tcPr>
          <w:p w14:paraId="2607EB6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序号</w:t>
            </w:r>
          </w:p>
        </w:tc>
        <w:tc>
          <w:tcPr>
            <w:tcW w:w="1386" w:type="pct"/>
            <w:vAlign w:val="center"/>
          </w:tcPr>
          <w:p w14:paraId="2607EB6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检查/维保内容</w:t>
            </w:r>
          </w:p>
        </w:tc>
        <w:tc>
          <w:tcPr>
            <w:tcW w:w="3195" w:type="pct"/>
            <w:vAlign w:val="center"/>
          </w:tcPr>
          <w:p w14:paraId="2607EB6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检查/维保标准</w:t>
            </w:r>
          </w:p>
        </w:tc>
      </w:tr>
      <w:tr w:rsidR="00A42D3B" w14:paraId="2607EB69" w14:textId="77777777">
        <w:trPr>
          <w:trHeight w:val="498"/>
        </w:trPr>
        <w:tc>
          <w:tcPr>
            <w:tcW w:w="419" w:type="pct"/>
            <w:vAlign w:val="center"/>
          </w:tcPr>
          <w:p w14:paraId="2607EB6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1</w:t>
            </w:r>
          </w:p>
        </w:tc>
        <w:tc>
          <w:tcPr>
            <w:tcW w:w="1386" w:type="pct"/>
            <w:vAlign w:val="center"/>
          </w:tcPr>
          <w:p w14:paraId="2607EB6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制冷剂液位、油位</w:t>
            </w:r>
          </w:p>
        </w:tc>
        <w:tc>
          <w:tcPr>
            <w:tcW w:w="3195" w:type="pct"/>
            <w:vAlign w:val="center"/>
          </w:tcPr>
          <w:p w14:paraId="2607EB6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制冷剂液位随负荷变化，油位不低于视镜1/3</w:t>
            </w:r>
          </w:p>
        </w:tc>
      </w:tr>
      <w:tr w:rsidR="00A42D3B" w14:paraId="2607EB6D" w14:textId="77777777">
        <w:trPr>
          <w:trHeight w:val="90"/>
        </w:trPr>
        <w:tc>
          <w:tcPr>
            <w:tcW w:w="419" w:type="pct"/>
            <w:vAlign w:val="center"/>
          </w:tcPr>
          <w:p w14:paraId="2607EB6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2</w:t>
            </w:r>
          </w:p>
        </w:tc>
        <w:tc>
          <w:tcPr>
            <w:tcW w:w="1386" w:type="pct"/>
            <w:vAlign w:val="center"/>
          </w:tcPr>
          <w:p w14:paraId="2607EB6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冷冻油加热器及油温</w:t>
            </w:r>
          </w:p>
        </w:tc>
        <w:tc>
          <w:tcPr>
            <w:tcW w:w="3195" w:type="pct"/>
            <w:vAlign w:val="center"/>
          </w:tcPr>
          <w:p w14:paraId="2607EB6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加热器运行正常；机组待机状态油温不低于冷凝器饱和温度加22.3℃，运行时油温不高于70℃</w:t>
            </w:r>
          </w:p>
        </w:tc>
      </w:tr>
      <w:tr w:rsidR="00A42D3B" w14:paraId="2607EB71" w14:textId="77777777">
        <w:trPr>
          <w:trHeight w:val="546"/>
        </w:trPr>
        <w:tc>
          <w:tcPr>
            <w:tcW w:w="419" w:type="pct"/>
            <w:vAlign w:val="center"/>
          </w:tcPr>
          <w:p w14:paraId="2607EB6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3</w:t>
            </w:r>
          </w:p>
        </w:tc>
        <w:tc>
          <w:tcPr>
            <w:tcW w:w="1386" w:type="pct"/>
            <w:vAlign w:val="center"/>
          </w:tcPr>
          <w:p w14:paraId="2607EB6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控制和安全控制功能</w:t>
            </w:r>
          </w:p>
        </w:tc>
        <w:tc>
          <w:tcPr>
            <w:tcW w:w="3195" w:type="pct"/>
            <w:vAlign w:val="center"/>
          </w:tcPr>
          <w:p w14:paraId="2607EB7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测试机组运行控制完好，安全控制保护功能正常有效</w:t>
            </w:r>
          </w:p>
        </w:tc>
      </w:tr>
      <w:tr w:rsidR="00A42D3B" w14:paraId="2607EB75" w14:textId="77777777">
        <w:trPr>
          <w:trHeight w:val="822"/>
        </w:trPr>
        <w:tc>
          <w:tcPr>
            <w:tcW w:w="419" w:type="pct"/>
            <w:vAlign w:val="center"/>
          </w:tcPr>
          <w:p w14:paraId="2607EB7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4</w:t>
            </w:r>
          </w:p>
        </w:tc>
        <w:tc>
          <w:tcPr>
            <w:tcW w:w="1386" w:type="pct"/>
            <w:vAlign w:val="center"/>
          </w:tcPr>
          <w:p w14:paraId="2607EB7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检查机组历史运行记录</w:t>
            </w:r>
          </w:p>
        </w:tc>
        <w:tc>
          <w:tcPr>
            <w:tcW w:w="3195" w:type="pct"/>
            <w:vAlign w:val="center"/>
          </w:tcPr>
          <w:p w14:paraId="2607EB7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查看机组历史运行记录，分析机组状态并检查，与操作人员一起温习操作步骤</w:t>
            </w:r>
          </w:p>
        </w:tc>
      </w:tr>
      <w:tr w:rsidR="00A42D3B" w14:paraId="2607EB79" w14:textId="77777777">
        <w:trPr>
          <w:trHeight w:val="712"/>
        </w:trPr>
        <w:tc>
          <w:tcPr>
            <w:tcW w:w="419" w:type="pct"/>
            <w:vAlign w:val="center"/>
          </w:tcPr>
          <w:p w14:paraId="2607EB7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5</w:t>
            </w:r>
          </w:p>
        </w:tc>
        <w:tc>
          <w:tcPr>
            <w:tcW w:w="1386" w:type="pct"/>
            <w:vAlign w:val="center"/>
          </w:tcPr>
          <w:p w14:paraId="2607EB7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电机、启动柜</w:t>
            </w:r>
          </w:p>
        </w:tc>
        <w:tc>
          <w:tcPr>
            <w:tcW w:w="3195" w:type="pct"/>
            <w:vAlign w:val="center"/>
          </w:tcPr>
          <w:p w14:paraId="2607EB7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检查电机绕组直流电阻，不平衡度小于2%；测试绕组绝缘电阻，确保符合要求，启动柜内各控制元件及接线完好牢固</w:t>
            </w:r>
          </w:p>
        </w:tc>
      </w:tr>
      <w:tr w:rsidR="00A42D3B" w14:paraId="2607EB7D" w14:textId="77777777">
        <w:trPr>
          <w:trHeight w:val="794"/>
        </w:trPr>
        <w:tc>
          <w:tcPr>
            <w:tcW w:w="419" w:type="pct"/>
            <w:vAlign w:val="center"/>
          </w:tcPr>
          <w:p w14:paraId="2607EB7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6</w:t>
            </w:r>
          </w:p>
        </w:tc>
        <w:tc>
          <w:tcPr>
            <w:tcW w:w="1386" w:type="pct"/>
            <w:vAlign w:val="center"/>
          </w:tcPr>
          <w:p w14:paraId="2607EB7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清洁启动柜内卫生并测试启动柜功能</w:t>
            </w:r>
          </w:p>
        </w:tc>
        <w:tc>
          <w:tcPr>
            <w:tcW w:w="3195" w:type="pct"/>
            <w:vAlign w:val="center"/>
          </w:tcPr>
          <w:p w14:paraId="2607EB7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启动柜内元器件表面清洁无积尘，检查各接线牢固无松动，模拟试验启动、运行转换正常，启动柜星-△转换时间符合启动要求</w:t>
            </w:r>
          </w:p>
        </w:tc>
      </w:tr>
      <w:tr w:rsidR="00A42D3B" w14:paraId="2607EB81" w14:textId="77777777">
        <w:trPr>
          <w:trHeight w:val="511"/>
        </w:trPr>
        <w:tc>
          <w:tcPr>
            <w:tcW w:w="419" w:type="pct"/>
            <w:vAlign w:val="center"/>
          </w:tcPr>
          <w:p w14:paraId="2607EB7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7</w:t>
            </w:r>
          </w:p>
        </w:tc>
        <w:tc>
          <w:tcPr>
            <w:tcW w:w="1386" w:type="pct"/>
            <w:vAlign w:val="center"/>
          </w:tcPr>
          <w:p w14:paraId="2607EB7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配合检查水系统的运行</w:t>
            </w:r>
          </w:p>
        </w:tc>
        <w:tc>
          <w:tcPr>
            <w:tcW w:w="3195" w:type="pct"/>
            <w:vAlign w:val="center"/>
          </w:tcPr>
          <w:p w14:paraId="2607EB8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配合检查冷冻水泵、冷却水泵、水流开关、冷却塔、相关阀门等</w:t>
            </w:r>
          </w:p>
        </w:tc>
      </w:tr>
      <w:tr w:rsidR="00A42D3B" w14:paraId="2607EB85" w14:textId="77777777">
        <w:trPr>
          <w:trHeight w:val="599"/>
        </w:trPr>
        <w:tc>
          <w:tcPr>
            <w:tcW w:w="419" w:type="pct"/>
            <w:vAlign w:val="center"/>
          </w:tcPr>
          <w:p w14:paraId="2607EB8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8</w:t>
            </w:r>
          </w:p>
        </w:tc>
        <w:tc>
          <w:tcPr>
            <w:tcW w:w="1386" w:type="pct"/>
            <w:vAlign w:val="center"/>
          </w:tcPr>
          <w:p w14:paraId="2607EB8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机组参数检查、调整</w:t>
            </w:r>
          </w:p>
        </w:tc>
        <w:tc>
          <w:tcPr>
            <w:tcW w:w="3195" w:type="pct"/>
            <w:vAlign w:val="center"/>
          </w:tcPr>
          <w:p w14:paraId="2607EB8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检查，根据需求合理调整控制中心机组设定值</w:t>
            </w:r>
          </w:p>
        </w:tc>
      </w:tr>
      <w:tr w:rsidR="00A42D3B" w14:paraId="2607EB89" w14:textId="77777777">
        <w:trPr>
          <w:trHeight w:val="634"/>
        </w:trPr>
        <w:tc>
          <w:tcPr>
            <w:tcW w:w="419" w:type="pct"/>
            <w:vAlign w:val="center"/>
          </w:tcPr>
          <w:p w14:paraId="2607EB8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9</w:t>
            </w:r>
          </w:p>
        </w:tc>
        <w:tc>
          <w:tcPr>
            <w:tcW w:w="1386" w:type="pct"/>
            <w:vAlign w:val="center"/>
          </w:tcPr>
          <w:p w14:paraId="2607EB8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机组试运行</w:t>
            </w:r>
          </w:p>
        </w:tc>
        <w:tc>
          <w:tcPr>
            <w:tcW w:w="3195" w:type="pct"/>
            <w:vAlign w:val="center"/>
          </w:tcPr>
          <w:p w14:paraId="2607EB8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启动冷水机组，检查整个机组的运行状况，记录机组运行参数并分析</w:t>
            </w:r>
          </w:p>
        </w:tc>
      </w:tr>
      <w:tr w:rsidR="00A42D3B" w14:paraId="2607EB8D" w14:textId="77777777">
        <w:trPr>
          <w:trHeight w:val="549"/>
        </w:trPr>
        <w:tc>
          <w:tcPr>
            <w:tcW w:w="419" w:type="pct"/>
            <w:vAlign w:val="center"/>
          </w:tcPr>
          <w:p w14:paraId="2607EB8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10</w:t>
            </w:r>
          </w:p>
        </w:tc>
        <w:tc>
          <w:tcPr>
            <w:tcW w:w="1386" w:type="pct"/>
            <w:vAlign w:val="center"/>
          </w:tcPr>
          <w:p w14:paraId="2607EB8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机组状态分析评估</w:t>
            </w:r>
          </w:p>
        </w:tc>
        <w:tc>
          <w:tcPr>
            <w:tcW w:w="3195" w:type="pct"/>
            <w:vAlign w:val="center"/>
          </w:tcPr>
          <w:p w14:paraId="2607EB8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根据机组运行记录，分析、处理机组存在的问题</w:t>
            </w:r>
          </w:p>
        </w:tc>
      </w:tr>
      <w:tr w:rsidR="00A42D3B" w14:paraId="2607EB91" w14:textId="77777777">
        <w:trPr>
          <w:trHeight w:val="753"/>
        </w:trPr>
        <w:tc>
          <w:tcPr>
            <w:tcW w:w="419" w:type="pct"/>
            <w:vAlign w:val="center"/>
          </w:tcPr>
          <w:p w14:paraId="2607EB8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11</w:t>
            </w:r>
          </w:p>
        </w:tc>
        <w:tc>
          <w:tcPr>
            <w:tcW w:w="1386" w:type="pct"/>
            <w:vAlign w:val="center"/>
          </w:tcPr>
          <w:p w14:paraId="2607EB8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检查、保养记录</w:t>
            </w:r>
          </w:p>
        </w:tc>
        <w:tc>
          <w:tcPr>
            <w:tcW w:w="3195" w:type="pct"/>
            <w:vAlign w:val="center"/>
          </w:tcPr>
          <w:p w14:paraId="2607EB9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检查保养内容完善，记录内容真实反映对机组检查、故障处理及运行合理的建议等内容</w:t>
            </w:r>
          </w:p>
        </w:tc>
      </w:tr>
    </w:tbl>
    <w:p w14:paraId="2607EB92" w14:textId="77777777" w:rsidR="00A42D3B" w:rsidRDefault="00A42D3B">
      <w:pPr>
        <w:spacing w:line="440" w:lineRule="exact"/>
        <w:rPr>
          <w:rFonts w:ascii="仿宋_GB2312" w:eastAsia="仿宋_GB2312" w:hAnsi="仿宋_GB2312" w:cs="仿宋_GB2312"/>
          <w:sz w:val="24"/>
        </w:rPr>
      </w:pPr>
    </w:p>
    <w:p w14:paraId="2607EB93" w14:textId="77777777" w:rsidR="00A42D3B" w:rsidRDefault="00507D1F">
      <w:pPr>
        <w:pStyle w:val="a7"/>
        <w:rPr>
          <w:rFonts w:ascii="仿宋_GB2312" w:eastAsia="仿宋_GB2312" w:hAnsi="仿宋_GB2312" w:cs="仿宋_GB2312"/>
          <w:b/>
          <w:bCs/>
          <w:sz w:val="24"/>
        </w:rPr>
      </w:pPr>
      <w:r>
        <w:rPr>
          <w:rFonts w:ascii="仿宋_GB2312" w:eastAsia="仿宋_GB2312" w:hAnsi="仿宋_GB2312" w:cs="仿宋_GB2312" w:hint="eastAsia"/>
          <w:b/>
          <w:bCs/>
          <w:sz w:val="24"/>
        </w:rPr>
        <w:t>2.运行季检查标准及要求：机组运行期间，每月进行下列各项（包括不限于）检查，确保机组在整个供冷季节可靠、高效：</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5"/>
        <w:gridCol w:w="2693"/>
        <w:gridCol w:w="4908"/>
      </w:tblGrid>
      <w:tr w:rsidR="00A42D3B" w14:paraId="2607EB97" w14:textId="77777777">
        <w:trPr>
          <w:trHeight w:val="410"/>
        </w:trPr>
        <w:tc>
          <w:tcPr>
            <w:tcW w:w="419" w:type="pct"/>
            <w:vAlign w:val="center"/>
          </w:tcPr>
          <w:p w14:paraId="2607EB9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序号</w:t>
            </w:r>
          </w:p>
        </w:tc>
        <w:tc>
          <w:tcPr>
            <w:tcW w:w="1623" w:type="pct"/>
            <w:vAlign w:val="center"/>
          </w:tcPr>
          <w:p w14:paraId="2607EB95"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检查/维保内容</w:t>
            </w:r>
          </w:p>
        </w:tc>
        <w:tc>
          <w:tcPr>
            <w:tcW w:w="2958" w:type="pct"/>
            <w:vAlign w:val="center"/>
          </w:tcPr>
          <w:p w14:paraId="2607EB9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检查/维保标准</w:t>
            </w:r>
          </w:p>
        </w:tc>
      </w:tr>
      <w:tr w:rsidR="00A42D3B" w14:paraId="2607EB9B" w14:textId="77777777">
        <w:trPr>
          <w:trHeight w:val="520"/>
        </w:trPr>
        <w:tc>
          <w:tcPr>
            <w:tcW w:w="419" w:type="pct"/>
            <w:vAlign w:val="center"/>
          </w:tcPr>
          <w:p w14:paraId="2607EB9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1</w:t>
            </w:r>
          </w:p>
        </w:tc>
        <w:tc>
          <w:tcPr>
            <w:tcW w:w="1623" w:type="pct"/>
            <w:vAlign w:val="center"/>
          </w:tcPr>
          <w:p w14:paraId="2607EB99"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安全控制装置</w:t>
            </w:r>
          </w:p>
        </w:tc>
        <w:tc>
          <w:tcPr>
            <w:tcW w:w="2958" w:type="pct"/>
            <w:vAlign w:val="center"/>
          </w:tcPr>
          <w:p w14:paraId="2607EB9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检查评估冷水机组运行参数，根据需要调整安全控制装置</w:t>
            </w:r>
          </w:p>
        </w:tc>
      </w:tr>
      <w:tr w:rsidR="00A42D3B" w14:paraId="2607EB9F" w14:textId="77777777">
        <w:trPr>
          <w:trHeight w:val="514"/>
        </w:trPr>
        <w:tc>
          <w:tcPr>
            <w:tcW w:w="419" w:type="pct"/>
            <w:vAlign w:val="center"/>
          </w:tcPr>
          <w:p w14:paraId="2607EB9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2</w:t>
            </w:r>
          </w:p>
        </w:tc>
        <w:tc>
          <w:tcPr>
            <w:tcW w:w="1623" w:type="pct"/>
            <w:vAlign w:val="center"/>
          </w:tcPr>
          <w:p w14:paraId="2607EB9D"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检查控制的运行</w:t>
            </w:r>
          </w:p>
        </w:tc>
        <w:tc>
          <w:tcPr>
            <w:tcW w:w="2958" w:type="pct"/>
            <w:vAlign w:val="center"/>
          </w:tcPr>
          <w:p w14:paraId="2607EB9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控制装置安全、可靠，控制无错乱</w:t>
            </w:r>
          </w:p>
        </w:tc>
      </w:tr>
      <w:tr w:rsidR="00A42D3B" w14:paraId="2607EBA3" w14:textId="77777777">
        <w:trPr>
          <w:trHeight w:val="522"/>
        </w:trPr>
        <w:tc>
          <w:tcPr>
            <w:tcW w:w="419" w:type="pct"/>
            <w:vAlign w:val="center"/>
          </w:tcPr>
          <w:p w14:paraId="2607EBA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3</w:t>
            </w:r>
          </w:p>
        </w:tc>
        <w:tc>
          <w:tcPr>
            <w:tcW w:w="1623" w:type="pct"/>
            <w:vAlign w:val="center"/>
          </w:tcPr>
          <w:p w14:paraId="2607EBA1"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制冷剂液位、油位</w:t>
            </w:r>
          </w:p>
        </w:tc>
        <w:tc>
          <w:tcPr>
            <w:tcW w:w="2958" w:type="pct"/>
            <w:vAlign w:val="center"/>
          </w:tcPr>
          <w:p w14:paraId="2607EBA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检查制冷剂液位、油位，制冷剂液位随负荷变化，油位不低于视镜1/3</w:t>
            </w:r>
          </w:p>
        </w:tc>
      </w:tr>
      <w:tr w:rsidR="00A42D3B" w14:paraId="2607EBA7" w14:textId="77777777">
        <w:trPr>
          <w:trHeight w:val="548"/>
        </w:trPr>
        <w:tc>
          <w:tcPr>
            <w:tcW w:w="419" w:type="pct"/>
            <w:vAlign w:val="center"/>
          </w:tcPr>
          <w:p w14:paraId="2607EBA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4</w:t>
            </w:r>
          </w:p>
        </w:tc>
        <w:tc>
          <w:tcPr>
            <w:tcW w:w="1623" w:type="pct"/>
            <w:vAlign w:val="center"/>
          </w:tcPr>
          <w:p w14:paraId="2607EBA5"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机组润滑系统</w:t>
            </w:r>
          </w:p>
        </w:tc>
        <w:tc>
          <w:tcPr>
            <w:tcW w:w="2958" w:type="pct"/>
            <w:vAlign w:val="center"/>
          </w:tcPr>
          <w:p w14:paraId="2607EBA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润滑系统运行良好，油压大于240KPa</w:t>
            </w:r>
          </w:p>
        </w:tc>
      </w:tr>
      <w:tr w:rsidR="00A42D3B" w14:paraId="2607EBAB" w14:textId="77777777">
        <w:trPr>
          <w:trHeight w:val="501"/>
        </w:trPr>
        <w:tc>
          <w:tcPr>
            <w:tcW w:w="419" w:type="pct"/>
            <w:vAlign w:val="center"/>
          </w:tcPr>
          <w:p w14:paraId="2607EBA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5</w:t>
            </w:r>
          </w:p>
        </w:tc>
        <w:tc>
          <w:tcPr>
            <w:tcW w:w="1623" w:type="pct"/>
            <w:vAlign w:val="center"/>
          </w:tcPr>
          <w:p w14:paraId="2607EBA9"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机组回油系统</w:t>
            </w:r>
          </w:p>
        </w:tc>
        <w:tc>
          <w:tcPr>
            <w:tcW w:w="2958" w:type="pct"/>
            <w:vAlign w:val="center"/>
          </w:tcPr>
          <w:p w14:paraId="2607EBA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检查机组回油系统工作是否正常，评估回油过滤器是否需要更换</w:t>
            </w:r>
          </w:p>
        </w:tc>
      </w:tr>
      <w:tr w:rsidR="00A42D3B" w14:paraId="2607EBAF" w14:textId="77777777">
        <w:trPr>
          <w:trHeight w:val="546"/>
        </w:trPr>
        <w:tc>
          <w:tcPr>
            <w:tcW w:w="419" w:type="pct"/>
            <w:vAlign w:val="center"/>
          </w:tcPr>
          <w:p w14:paraId="2607EBA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6</w:t>
            </w:r>
          </w:p>
        </w:tc>
        <w:tc>
          <w:tcPr>
            <w:tcW w:w="1623" w:type="pct"/>
            <w:vAlign w:val="center"/>
          </w:tcPr>
          <w:p w14:paraId="2607EBAD"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节流孔板执行器</w:t>
            </w:r>
          </w:p>
        </w:tc>
        <w:tc>
          <w:tcPr>
            <w:tcW w:w="2958" w:type="pct"/>
            <w:vAlign w:val="center"/>
          </w:tcPr>
          <w:p w14:paraId="2607EBA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检查节流装置执行器，调节准确，动作灵活，无卡阻</w:t>
            </w:r>
          </w:p>
        </w:tc>
      </w:tr>
      <w:tr w:rsidR="00A42D3B" w14:paraId="2607EBB3" w14:textId="77777777">
        <w:trPr>
          <w:trHeight w:val="757"/>
        </w:trPr>
        <w:tc>
          <w:tcPr>
            <w:tcW w:w="419" w:type="pct"/>
            <w:vAlign w:val="center"/>
          </w:tcPr>
          <w:p w14:paraId="2607EBB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7</w:t>
            </w:r>
          </w:p>
        </w:tc>
        <w:tc>
          <w:tcPr>
            <w:tcW w:w="1623" w:type="pct"/>
            <w:vAlign w:val="center"/>
          </w:tcPr>
          <w:p w14:paraId="2607EBB1"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检查电机和启动柜的运行</w:t>
            </w:r>
          </w:p>
        </w:tc>
        <w:tc>
          <w:tcPr>
            <w:tcW w:w="2958" w:type="pct"/>
            <w:vAlign w:val="center"/>
          </w:tcPr>
          <w:p w14:paraId="2607EBB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电机运转无异响、温升正常；启动柜主回路、控制回路接线紧固，无接触不良导致发热或异常停机</w:t>
            </w:r>
          </w:p>
        </w:tc>
      </w:tr>
      <w:tr w:rsidR="00A42D3B" w14:paraId="2607EBB7" w14:textId="77777777">
        <w:trPr>
          <w:trHeight w:val="509"/>
        </w:trPr>
        <w:tc>
          <w:tcPr>
            <w:tcW w:w="419" w:type="pct"/>
            <w:vAlign w:val="center"/>
          </w:tcPr>
          <w:p w14:paraId="2607EBB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8</w:t>
            </w:r>
          </w:p>
        </w:tc>
        <w:tc>
          <w:tcPr>
            <w:tcW w:w="1623" w:type="pct"/>
            <w:vAlign w:val="center"/>
          </w:tcPr>
          <w:p w14:paraId="2607EBB5"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控制柜电气设备、元器件</w:t>
            </w:r>
          </w:p>
        </w:tc>
        <w:tc>
          <w:tcPr>
            <w:tcW w:w="2958" w:type="pct"/>
            <w:vAlign w:val="center"/>
          </w:tcPr>
          <w:p w14:paraId="2607EBB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控制柜电气设备、元器件接线牢固、清洁、无灰尘</w:t>
            </w:r>
          </w:p>
        </w:tc>
      </w:tr>
      <w:tr w:rsidR="00A42D3B" w14:paraId="2607EBBB" w14:textId="77777777">
        <w:trPr>
          <w:trHeight w:val="712"/>
        </w:trPr>
        <w:tc>
          <w:tcPr>
            <w:tcW w:w="419" w:type="pct"/>
            <w:vAlign w:val="center"/>
          </w:tcPr>
          <w:p w14:paraId="2607EBB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9</w:t>
            </w:r>
          </w:p>
        </w:tc>
        <w:tc>
          <w:tcPr>
            <w:tcW w:w="1623" w:type="pct"/>
            <w:vAlign w:val="center"/>
          </w:tcPr>
          <w:p w14:paraId="2607EBB9"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机组运行状态参数</w:t>
            </w:r>
          </w:p>
        </w:tc>
        <w:tc>
          <w:tcPr>
            <w:tcW w:w="2958" w:type="pct"/>
            <w:vAlign w:val="center"/>
          </w:tcPr>
          <w:p w14:paraId="2607EBB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检查、分析、记录运行状态参数，评估运行参数及机组运行工况是否正常，必要时进行参数</w:t>
            </w:r>
            <w:r>
              <w:rPr>
                <w:rFonts w:ascii="仿宋_GB2312" w:eastAsia="仿宋_GB2312" w:hAnsi="仿宋_GB2312" w:cs="仿宋_GB2312" w:hint="eastAsia"/>
                <w:sz w:val="24"/>
              </w:rPr>
              <w:lastRenderedPageBreak/>
              <w:t>调整及机组检修</w:t>
            </w:r>
          </w:p>
        </w:tc>
      </w:tr>
      <w:tr w:rsidR="00A42D3B" w14:paraId="2607EBBF" w14:textId="77777777">
        <w:trPr>
          <w:trHeight w:val="535"/>
        </w:trPr>
        <w:tc>
          <w:tcPr>
            <w:tcW w:w="419" w:type="pct"/>
            <w:vAlign w:val="center"/>
          </w:tcPr>
          <w:p w14:paraId="2607EBB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lastRenderedPageBreak/>
              <w:t>10</w:t>
            </w:r>
          </w:p>
        </w:tc>
        <w:tc>
          <w:tcPr>
            <w:tcW w:w="1623" w:type="pct"/>
            <w:vAlign w:val="center"/>
          </w:tcPr>
          <w:p w14:paraId="2607EBBD"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维保记录</w:t>
            </w:r>
          </w:p>
        </w:tc>
        <w:tc>
          <w:tcPr>
            <w:tcW w:w="2958" w:type="pct"/>
            <w:vAlign w:val="center"/>
          </w:tcPr>
          <w:p w14:paraId="2607EBB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记录是否完整，资料是否正确</w:t>
            </w:r>
          </w:p>
        </w:tc>
      </w:tr>
    </w:tbl>
    <w:p w14:paraId="2607EBC1" w14:textId="77777777" w:rsidR="00A42D3B" w:rsidRDefault="00A42D3B">
      <w:pPr>
        <w:rPr>
          <w:rFonts w:ascii="仿宋_GB2312" w:eastAsia="仿宋_GB2312" w:hAnsi="仿宋_GB2312" w:cs="仿宋_GB2312"/>
          <w:b/>
          <w:bCs/>
          <w:sz w:val="24"/>
          <w:szCs w:val="24"/>
        </w:rPr>
      </w:pPr>
    </w:p>
    <w:p w14:paraId="2607EBC2" w14:textId="77777777" w:rsidR="00A42D3B" w:rsidRDefault="00507D1F">
      <w:pPr>
        <w:pStyle w:val="a7"/>
        <w:rPr>
          <w:rFonts w:ascii="仿宋_GB2312" w:eastAsia="仿宋_GB2312" w:hAnsi="仿宋_GB2312" w:cs="仿宋_GB2312"/>
          <w:sz w:val="24"/>
        </w:rPr>
      </w:pPr>
      <w:r>
        <w:rPr>
          <w:rFonts w:ascii="仿宋_GB2312" w:eastAsia="仿宋_GB2312" w:hAnsi="仿宋_GB2312" w:cs="仿宋_GB2312" w:hint="eastAsia"/>
          <w:b/>
          <w:bCs/>
          <w:sz w:val="24"/>
        </w:rPr>
        <w:t>3.每年一次设备停机检查和预防性保养：停机期间，每年一次进行下列各项（包括不限于）检查，以便能正确评估设备的状态，为下一个供冷季节的正常运行使用做好准备：</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2"/>
        <w:gridCol w:w="1017"/>
        <w:gridCol w:w="2149"/>
        <w:gridCol w:w="4438"/>
      </w:tblGrid>
      <w:tr w:rsidR="00A42D3B" w14:paraId="2607EBC6" w14:textId="77777777">
        <w:trPr>
          <w:trHeight w:val="434"/>
        </w:trPr>
        <w:tc>
          <w:tcPr>
            <w:tcW w:w="417" w:type="pct"/>
            <w:vAlign w:val="center"/>
          </w:tcPr>
          <w:p w14:paraId="2607EBC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序号</w:t>
            </w:r>
          </w:p>
        </w:tc>
        <w:tc>
          <w:tcPr>
            <w:tcW w:w="1908" w:type="pct"/>
            <w:gridSpan w:val="2"/>
            <w:vAlign w:val="center"/>
          </w:tcPr>
          <w:p w14:paraId="2607EBC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检查/维保内容</w:t>
            </w:r>
          </w:p>
        </w:tc>
        <w:tc>
          <w:tcPr>
            <w:tcW w:w="2675" w:type="pct"/>
            <w:vAlign w:val="center"/>
          </w:tcPr>
          <w:p w14:paraId="2607EBC5"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检查/维保标准</w:t>
            </w:r>
          </w:p>
        </w:tc>
      </w:tr>
      <w:tr w:rsidR="00A42D3B" w14:paraId="2607EBCB" w14:textId="77777777">
        <w:trPr>
          <w:trHeight w:val="484"/>
        </w:trPr>
        <w:tc>
          <w:tcPr>
            <w:tcW w:w="417" w:type="pct"/>
            <w:vMerge w:val="restart"/>
            <w:vAlign w:val="center"/>
          </w:tcPr>
          <w:p w14:paraId="2607EBC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1</w:t>
            </w:r>
          </w:p>
        </w:tc>
        <w:tc>
          <w:tcPr>
            <w:tcW w:w="613" w:type="pct"/>
            <w:vMerge w:val="restart"/>
            <w:vAlign w:val="center"/>
          </w:tcPr>
          <w:p w14:paraId="2607EBC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压缩机/电机组件</w:t>
            </w:r>
          </w:p>
        </w:tc>
        <w:tc>
          <w:tcPr>
            <w:tcW w:w="1295" w:type="pct"/>
            <w:vAlign w:val="center"/>
          </w:tcPr>
          <w:p w14:paraId="2607EBC9"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测试、记录电压</w:t>
            </w:r>
          </w:p>
        </w:tc>
        <w:tc>
          <w:tcPr>
            <w:tcW w:w="2675" w:type="pct"/>
            <w:vAlign w:val="center"/>
          </w:tcPr>
          <w:p w14:paraId="2607EBC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电压偏差为±7%</w:t>
            </w:r>
          </w:p>
        </w:tc>
      </w:tr>
      <w:tr w:rsidR="00A42D3B" w14:paraId="2607EBD0" w14:textId="77777777">
        <w:trPr>
          <w:trHeight w:val="764"/>
        </w:trPr>
        <w:tc>
          <w:tcPr>
            <w:tcW w:w="417" w:type="pct"/>
            <w:vMerge/>
            <w:vAlign w:val="center"/>
          </w:tcPr>
          <w:p w14:paraId="2607EBCC"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BCD"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BC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电机绕组绝缘</w:t>
            </w:r>
          </w:p>
        </w:tc>
        <w:tc>
          <w:tcPr>
            <w:tcW w:w="2675" w:type="pct"/>
            <w:vAlign w:val="center"/>
          </w:tcPr>
          <w:p w14:paraId="2607EBC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用2500V兆欧表测量电机绕组对地及相间绝缘，绝缘电阻大于10兆欧</w:t>
            </w:r>
          </w:p>
        </w:tc>
      </w:tr>
      <w:tr w:rsidR="00A42D3B" w14:paraId="2607EBD5" w14:textId="77777777">
        <w:trPr>
          <w:trHeight w:val="90"/>
        </w:trPr>
        <w:tc>
          <w:tcPr>
            <w:tcW w:w="417" w:type="pct"/>
            <w:vMerge/>
            <w:vAlign w:val="center"/>
          </w:tcPr>
          <w:p w14:paraId="2607EBD1"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BD2"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BD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电机</w:t>
            </w:r>
          </w:p>
        </w:tc>
        <w:tc>
          <w:tcPr>
            <w:tcW w:w="2675" w:type="pct"/>
            <w:vAlign w:val="center"/>
          </w:tcPr>
          <w:p w14:paraId="2607EBD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运行正常，无异响</w:t>
            </w:r>
          </w:p>
        </w:tc>
      </w:tr>
      <w:tr w:rsidR="00A42D3B" w14:paraId="2607EBDA" w14:textId="77777777">
        <w:trPr>
          <w:trHeight w:val="560"/>
        </w:trPr>
        <w:tc>
          <w:tcPr>
            <w:tcW w:w="417" w:type="pct"/>
            <w:vMerge/>
            <w:vAlign w:val="center"/>
          </w:tcPr>
          <w:p w14:paraId="2607EBD6"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BD7"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BD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电机驱动装置定位状态</w:t>
            </w:r>
          </w:p>
        </w:tc>
        <w:tc>
          <w:tcPr>
            <w:tcW w:w="2675" w:type="pct"/>
            <w:vAlign w:val="center"/>
          </w:tcPr>
          <w:p w14:paraId="2607EBD9"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无偏差，无松动</w:t>
            </w:r>
          </w:p>
        </w:tc>
      </w:tr>
      <w:tr w:rsidR="00A42D3B" w14:paraId="2607EBDF" w14:textId="77777777">
        <w:trPr>
          <w:trHeight w:val="546"/>
        </w:trPr>
        <w:tc>
          <w:tcPr>
            <w:tcW w:w="417" w:type="pct"/>
            <w:vMerge/>
            <w:vAlign w:val="center"/>
          </w:tcPr>
          <w:p w14:paraId="2607EBDB"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BDC"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BDD"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联轴器</w:t>
            </w:r>
          </w:p>
        </w:tc>
        <w:tc>
          <w:tcPr>
            <w:tcW w:w="2675" w:type="pct"/>
            <w:vAlign w:val="center"/>
          </w:tcPr>
          <w:p w14:paraId="2607EBD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无碰伤、无裂纹，连接紧固，键连接无松动、无滚键</w:t>
            </w:r>
          </w:p>
        </w:tc>
      </w:tr>
      <w:tr w:rsidR="00A42D3B" w14:paraId="2607EBE4" w14:textId="77777777">
        <w:tc>
          <w:tcPr>
            <w:tcW w:w="417" w:type="pct"/>
            <w:vMerge/>
            <w:vAlign w:val="center"/>
          </w:tcPr>
          <w:p w14:paraId="2607EBE0"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BE1"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BE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检查密封情况</w:t>
            </w:r>
          </w:p>
        </w:tc>
        <w:tc>
          <w:tcPr>
            <w:tcW w:w="2675" w:type="pct"/>
            <w:vAlign w:val="center"/>
          </w:tcPr>
          <w:p w14:paraId="2607EBE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密封完好，无渗漏现象</w:t>
            </w:r>
          </w:p>
        </w:tc>
      </w:tr>
      <w:tr w:rsidR="00A42D3B" w14:paraId="2607EBE9" w14:textId="77777777">
        <w:trPr>
          <w:trHeight w:val="575"/>
        </w:trPr>
        <w:tc>
          <w:tcPr>
            <w:tcW w:w="417" w:type="pct"/>
            <w:vMerge/>
            <w:vAlign w:val="center"/>
          </w:tcPr>
          <w:p w14:paraId="2607EBE5"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BE6"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BE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导叶执行机构、联结机构</w:t>
            </w:r>
          </w:p>
        </w:tc>
        <w:tc>
          <w:tcPr>
            <w:tcW w:w="2675" w:type="pct"/>
            <w:vAlign w:val="center"/>
          </w:tcPr>
          <w:p w14:paraId="2607EBE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润滑良好，转动无卡阻现象</w:t>
            </w:r>
          </w:p>
        </w:tc>
      </w:tr>
      <w:tr w:rsidR="00A42D3B" w14:paraId="2607EBEE" w14:textId="77777777">
        <w:trPr>
          <w:trHeight w:val="758"/>
        </w:trPr>
        <w:tc>
          <w:tcPr>
            <w:tcW w:w="417" w:type="pct"/>
            <w:vMerge w:val="restart"/>
            <w:vAlign w:val="center"/>
          </w:tcPr>
          <w:p w14:paraId="2607EBE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2</w:t>
            </w:r>
          </w:p>
        </w:tc>
        <w:tc>
          <w:tcPr>
            <w:tcW w:w="613" w:type="pct"/>
            <w:vMerge w:val="restart"/>
            <w:vAlign w:val="center"/>
          </w:tcPr>
          <w:p w14:paraId="2607EBE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压缩机润滑油系统</w:t>
            </w:r>
          </w:p>
        </w:tc>
        <w:tc>
          <w:tcPr>
            <w:tcW w:w="1295" w:type="pct"/>
            <w:vAlign w:val="center"/>
          </w:tcPr>
          <w:p w14:paraId="2607EBE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润滑油、过滤器、干燥过滤器</w:t>
            </w:r>
          </w:p>
        </w:tc>
        <w:tc>
          <w:tcPr>
            <w:tcW w:w="2675" w:type="pct"/>
            <w:vAlign w:val="center"/>
          </w:tcPr>
          <w:p w14:paraId="2607EBED"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润滑油色清澈、粘度符合要求；油过滤器、干燥过滤器无脏堵</w:t>
            </w:r>
          </w:p>
        </w:tc>
      </w:tr>
      <w:tr w:rsidR="00A42D3B" w14:paraId="2607EBF3" w14:textId="77777777">
        <w:trPr>
          <w:trHeight w:val="608"/>
        </w:trPr>
        <w:tc>
          <w:tcPr>
            <w:tcW w:w="417" w:type="pct"/>
            <w:vMerge/>
            <w:vAlign w:val="center"/>
          </w:tcPr>
          <w:p w14:paraId="2607EBEF"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BF0"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BF1"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油泵及电机</w:t>
            </w:r>
          </w:p>
        </w:tc>
        <w:tc>
          <w:tcPr>
            <w:tcW w:w="2675" w:type="pct"/>
            <w:vAlign w:val="center"/>
          </w:tcPr>
          <w:p w14:paraId="2607EBF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油泵电机绝缘良好、密封处无渗漏现象</w:t>
            </w:r>
          </w:p>
        </w:tc>
      </w:tr>
      <w:tr w:rsidR="00A42D3B" w14:paraId="2607EBF8" w14:textId="77777777">
        <w:trPr>
          <w:trHeight w:val="571"/>
        </w:trPr>
        <w:tc>
          <w:tcPr>
            <w:tcW w:w="417" w:type="pct"/>
            <w:vMerge/>
            <w:vAlign w:val="center"/>
          </w:tcPr>
          <w:p w14:paraId="2607EBF4"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BF5"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BF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加热器及恒温器</w:t>
            </w:r>
          </w:p>
        </w:tc>
        <w:tc>
          <w:tcPr>
            <w:tcW w:w="2675" w:type="pct"/>
            <w:vAlign w:val="center"/>
          </w:tcPr>
          <w:p w14:paraId="2607EBF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加热器及恒温器运行正常，油温不低于冷凝器饱和温度加22.3℃</w:t>
            </w:r>
          </w:p>
        </w:tc>
      </w:tr>
      <w:tr w:rsidR="00A42D3B" w14:paraId="2607EBFD" w14:textId="77777777">
        <w:trPr>
          <w:trHeight w:val="827"/>
        </w:trPr>
        <w:tc>
          <w:tcPr>
            <w:tcW w:w="417" w:type="pct"/>
            <w:vMerge/>
            <w:vAlign w:val="center"/>
          </w:tcPr>
          <w:p w14:paraId="2607EBF9"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BFA"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BF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其它油系统部件</w:t>
            </w:r>
          </w:p>
        </w:tc>
        <w:tc>
          <w:tcPr>
            <w:tcW w:w="2675" w:type="pct"/>
            <w:vAlign w:val="center"/>
          </w:tcPr>
          <w:p w14:paraId="2607EBF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其它所有油系统部件，如油冷却器、过滤器和电磁阀状态良好</w:t>
            </w:r>
          </w:p>
        </w:tc>
      </w:tr>
      <w:tr w:rsidR="00A42D3B" w14:paraId="2607EC02" w14:textId="77777777">
        <w:trPr>
          <w:trHeight w:val="505"/>
        </w:trPr>
        <w:tc>
          <w:tcPr>
            <w:tcW w:w="417" w:type="pct"/>
            <w:vMerge w:val="restart"/>
            <w:vAlign w:val="center"/>
          </w:tcPr>
          <w:p w14:paraId="2607EBF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3</w:t>
            </w:r>
          </w:p>
        </w:tc>
        <w:tc>
          <w:tcPr>
            <w:tcW w:w="613" w:type="pct"/>
            <w:vMerge w:val="restart"/>
            <w:vAlign w:val="center"/>
          </w:tcPr>
          <w:p w14:paraId="2607EBF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电机启动器</w:t>
            </w:r>
          </w:p>
        </w:tc>
        <w:tc>
          <w:tcPr>
            <w:tcW w:w="1295" w:type="pct"/>
            <w:vAlign w:val="center"/>
          </w:tcPr>
          <w:p w14:paraId="2607EC0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执行诊断检查</w:t>
            </w:r>
          </w:p>
        </w:tc>
        <w:tc>
          <w:tcPr>
            <w:tcW w:w="2675" w:type="pct"/>
            <w:vAlign w:val="center"/>
          </w:tcPr>
          <w:p w14:paraId="2607EC01"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执行诊断检查程序</w:t>
            </w:r>
          </w:p>
        </w:tc>
      </w:tr>
      <w:tr w:rsidR="00A42D3B" w14:paraId="2607EC07" w14:textId="77777777">
        <w:trPr>
          <w:trHeight w:val="551"/>
        </w:trPr>
        <w:tc>
          <w:tcPr>
            <w:tcW w:w="417" w:type="pct"/>
            <w:vMerge/>
            <w:vAlign w:val="center"/>
          </w:tcPr>
          <w:p w14:paraId="2607EC03"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04"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05"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接触器</w:t>
            </w:r>
          </w:p>
        </w:tc>
        <w:tc>
          <w:tcPr>
            <w:tcW w:w="2675" w:type="pct"/>
            <w:vAlign w:val="center"/>
          </w:tcPr>
          <w:p w14:paraId="2607EC0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清洁接触器，触点完好或必要时建议更换</w:t>
            </w:r>
          </w:p>
        </w:tc>
      </w:tr>
      <w:tr w:rsidR="00A42D3B" w14:paraId="2607EC0C" w14:textId="77777777">
        <w:trPr>
          <w:trHeight w:val="501"/>
        </w:trPr>
        <w:tc>
          <w:tcPr>
            <w:tcW w:w="417" w:type="pct"/>
            <w:vMerge/>
            <w:vAlign w:val="center"/>
          </w:tcPr>
          <w:p w14:paraId="2607EC08"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09"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0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连接机构</w:t>
            </w:r>
          </w:p>
        </w:tc>
        <w:tc>
          <w:tcPr>
            <w:tcW w:w="2675" w:type="pct"/>
            <w:vAlign w:val="center"/>
          </w:tcPr>
          <w:p w14:paraId="2607EC0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连接机构运转正常，无异响</w:t>
            </w:r>
          </w:p>
        </w:tc>
      </w:tr>
      <w:tr w:rsidR="00A42D3B" w14:paraId="2607EC11" w14:textId="77777777">
        <w:trPr>
          <w:trHeight w:val="501"/>
        </w:trPr>
        <w:tc>
          <w:tcPr>
            <w:tcW w:w="417" w:type="pct"/>
            <w:vMerge/>
            <w:vAlign w:val="center"/>
          </w:tcPr>
          <w:p w14:paraId="2607EC0D"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0E"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0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接线端</w:t>
            </w:r>
          </w:p>
        </w:tc>
        <w:tc>
          <w:tcPr>
            <w:tcW w:w="2675" w:type="pct"/>
            <w:vAlign w:val="center"/>
          </w:tcPr>
          <w:p w14:paraId="2607EC1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接线端压接紧固，无发热、变色现象</w:t>
            </w:r>
          </w:p>
        </w:tc>
      </w:tr>
      <w:tr w:rsidR="00A42D3B" w14:paraId="2607EC16" w14:textId="77777777">
        <w:trPr>
          <w:trHeight w:val="501"/>
        </w:trPr>
        <w:tc>
          <w:tcPr>
            <w:tcW w:w="417" w:type="pct"/>
            <w:vMerge/>
            <w:vAlign w:val="center"/>
          </w:tcPr>
          <w:p w14:paraId="2607EC12"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13"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1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过载装置</w:t>
            </w:r>
          </w:p>
        </w:tc>
        <w:tc>
          <w:tcPr>
            <w:tcW w:w="2675" w:type="pct"/>
            <w:vAlign w:val="center"/>
          </w:tcPr>
          <w:p w14:paraId="2607EC15"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过载保护装置正确，保护可靠</w:t>
            </w:r>
          </w:p>
        </w:tc>
      </w:tr>
      <w:tr w:rsidR="00A42D3B" w14:paraId="2607EC1B" w14:textId="77777777">
        <w:trPr>
          <w:trHeight w:val="501"/>
        </w:trPr>
        <w:tc>
          <w:tcPr>
            <w:tcW w:w="417" w:type="pct"/>
            <w:vMerge/>
            <w:vAlign w:val="center"/>
          </w:tcPr>
          <w:p w14:paraId="2607EC17"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18"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19"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启动器</w:t>
            </w:r>
          </w:p>
        </w:tc>
        <w:tc>
          <w:tcPr>
            <w:tcW w:w="2675" w:type="pct"/>
            <w:vAlign w:val="center"/>
          </w:tcPr>
          <w:p w14:paraId="2607EC1A"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启动装置转换可靠，状态指示灯显示正常</w:t>
            </w:r>
          </w:p>
        </w:tc>
      </w:tr>
      <w:tr w:rsidR="00A42D3B" w14:paraId="2607EC20" w14:textId="77777777">
        <w:trPr>
          <w:trHeight w:val="501"/>
        </w:trPr>
        <w:tc>
          <w:tcPr>
            <w:tcW w:w="417" w:type="pct"/>
            <w:vMerge w:val="restart"/>
            <w:vAlign w:val="center"/>
          </w:tcPr>
          <w:p w14:paraId="2607EC1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4</w:t>
            </w:r>
          </w:p>
        </w:tc>
        <w:tc>
          <w:tcPr>
            <w:tcW w:w="613" w:type="pct"/>
            <w:vMerge w:val="restart"/>
            <w:vAlign w:val="center"/>
          </w:tcPr>
          <w:p w14:paraId="2607EC1D"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控制中心</w:t>
            </w:r>
          </w:p>
        </w:tc>
        <w:tc>
          <w:tcPr>
            <w:tcW w:w="1295" w:type="pct"/>
            <w:vAlign w:val="center"/>
          </w:tcPr>
          <w:p w14:paraId="2607EC1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系统控制</w:t>
            </w:r>
          </w:p>
        </w:tc>
        <w:tc>
          <w:tcPr>
            <w:tcW w:w="2675" w:type="pct"/>
            <w:vAlign w:val="center"/>
          </w:tcPr>
          <w:p w14:paraId="2607EC1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执行诊断检查程序</w:t>
            </w:r>
          </w:p>
        </w:tc>
      </w:tr>
      <w:tr w:rsidR="00A42D3B" w14:paraId="2607EC25" w14:textId="77777777">
        <w:trPr>
          <w:trHeight w:val="501"/>
        </w:trPr>
        <w:tc>
          <w:tcPr>
            <w:tcW w:w="417" w:type="pct"/>
            <w:vMerge/>
            <w:vAlign w:val="center"/>
          </w:tcPr>
          <w:p w14:paraId="2607EC21"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22"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2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安全停机运行</w:t>
            </w:r>
          </w:p>
        </w:tc>
        <w:tc>
          <w:tcPr>
            <w:tcW w:w="2675" w:type="pct"/>
            <w:vAlign w:val="center"/>
          </w:tcPr>
          <w:p w14:paraId="2607EC24"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检查安全停机运行状态是否正常</w:t>
            </w:r>
          </w:p>
        </w:tc>
      </w:tr>
      <w:tr w:rsidR="00A42D3B" w14:paraId="2607EC2A" w14:textId="77777777">
        <w:trPr>
          <w:trHeight w:val="501"/>
        </w:trPr>
        <w:tc>
          <w:tcPr>
            <w:tcW w:w="417" w:type="pct"/>
            <w:vMerge/>
            <w:vAlign w:val="center"/>
          </w:tcPr>
          <w:p w14:paraId="2607EC26"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27"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2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控制接线</w:t>
            </w:r>
          </w:p>
        </w:tc>
        <w:tc>
          <w:tcPr>
            <w:tcW w:w="2675" w:type="pct"/>
            <w:vAlign w:val="center"/>
          </w:tcPr>
          <w:p w14:paraId="2607EC29"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检查所有接线端并紧固</w:t>
            </w:r>
          </w:p>
        </w:tc>
      </w:tr>
      <w:tr w:rsidR="00A42D3B" w14:paraId="2607EC2F" w14:textId="77777777">
        <w:trPr>
          <w:trHeight w:val="501"/>
        </w:trPr>
        <w:tc>
          <w:tcPr>
            <w:tcW w:w="417" w:type="pct"/>
            <w:vMerge/>
            <w:vAlign w:val="center"/>
          </w:tcPr>
          <w:p w14:paraId="2607EC2B"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2C"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2D"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参数设定</w:t>
            </w:r>
          </w:p>
        </w:tc>
        <w:tc>
          <w:tcPr>
            <w:tcW w:w="2675" w:type="pct"/>
            <w:vAlign w:val="center"/>
          </w:tcPr>
          <w:p w14:paraId="2607EC2E"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检查显示数据的设定值及准确性</w:t>
            </w:r>
          </w:p>
        </w:tc>
      </w:tr>
      <w:tr w:rsidR="00A42D3B" w14:paraId="2607EC34" w14:textId="77777777">
        <w:trPr>
          <w:trHeight w:val="501"/>
        </w:trPr>
        <w:tc>
          <w:tcPr>
            <w:tcW w:w="417" w:type="pct"/>
            <w:vMerge w:val="restart"/>
            <w:vAlign w:val="center"/>
          </w:tcPr>
          <w:p w14:paraId="2607EC3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5</w:t>
            </w:r>
          </w:p>
        </w:tc>
        <w:tc>
          <w:tcPr>
            <w:tcW w:w="613" w:type="pct"/>
            <w:vMerge w:val="restart"/>
            <w:vAlign w:val="center"/>
          </w:tcPr>
          <w:p w14:paraId="2607EC31"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冷凝器、蒸发器</w:t>
            </w:r>
          </w:p>
        </w:tc>
        <w:tc>
          <w:tcPr>
            <w:tcW w:w="1295" w:type="pct"/>
            <w:vAlign w:val="center"/>
          </w:tcPr>
          <w:p w14:paraId="2607EC3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水流量</w:t>
            </w:r>
          </w:p>
        </w:tc>
        <w:tc>
          <w:tcPr>
            <w:tcW w:w="2675" w:type="pct"/>
            <w:vAlign w:val="center"/>
          </w:tcPr>
          <w:p w14:paraId="2607EC3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检查水流量是否正常</w:t>
            </w:r>
          </w:p>
        </w:tc>
      </w:tr>
      <w:tr w:rsidR="00A42D3B" w14:paraId="2607EC39" w14:textId="77777777">
        <w:trPr>
          <w:trHeight w:val="501"/>
        </w:trPr>
        <w:tc>
          <w:tcPr>
            <w:tcW w:w="417" w:type="pct"/>
            <w:vMerge/>
            <w:vAlign w:val="center"/>
          </w:tcPr>
          <w:p w14:paraId="2607EC35"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36"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3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水流开关</w:t>
            </w:r>
          </w:p>
        </w:tc>
        <w:tc>
          <w:tcPr>
            <w:tcW w:w="2675" w:type="pct"/>
            <w:vAlign w:val="center"/>
          </w:tcPr>
          <w:p w14:paraId="2607EC38"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检查水流开关的动作情况是否正常</w:t>
            </w:r>
          </w:p>
        </w:tc>
      </w:tr>
      <w:tr w:rsidR="00A42D3B" w14:paraId="2607EC3E" w14:textId="77777777">
        <w:trPr>
          <w:trHeight w:val="501"/>
        </w:trPr>
        <w:tc>
          <w:tcPr>
            <w:tcW w:w="417" w:type="pct"/>
            <w:vMerge/>
            <w:vAlign w:val="center"/>
          </w:tcPr>
          <w:p w14:paraId="2607EC3A"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3B"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3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记录参数分析</w:t>
            </w:r>
          </w:p>
        </w:tc>
        <w:tc>
          <w:tcPr>
            <w:tcW w:w="2675" w:type="pct"/>
            <w:vAlign w:val="center"/>
          </w:tcPr>
          <w:p w14:paraId="2607EC3D"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根据记录参数分析评估热交换效果，满载时冷凝器趋近温度（小温差）小于3℃</w:t>
            </w:r>
          </w:p>
        </w:tc>
      </w:tr>
      <w:tr w:rsidR="00A42D3B" w14:paraId="2607EC43" w14:textId="77777777">
        <w:trPr>
          <w:trHeight w:val="501"/>
        </w:trPr>
        <w:tc>
          <w:tcPr>
            <w:tcW w:w="417" w:type="pct"/>
            <w:vMerge w:val="restart"/>
            <w:vAlign w:val="center"/>
          </w:tcPr>
          <w:p w14:paraId="2607EC3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6</w:t>
            </w:r>
          </w:p>
        </w:tc>
        <w:tc>
          <w:tcPr>
            <w:tcW w:w="613" w:type="pct"/>
            <w:vMerge w:val="restart"/>
            <w:vAlign w:val="center"/>
          </w:tcPr>
          <w:p w14:paraId="2607EC4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其它</w:t>
            </w:r>
          </w:p>
        </w:tc>
        <w:tc>
          <w:tcPr>
            <w:tcW w:w="1295" w:type="pct"/>
            <w:vAlign w:val="center"/>
          </w:tcPr>
          <w:p w14:paraId="2607EC41"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漏检</w:t>
            </w:r>
          </w:p>
        </w:tc>
        <w:tc>
          <w:tcPr>
            <w:tcW w:w="2675" w:type="pct"/>
            <w:vAlign w:val="center"/>
          </w:tcPr>
          <w:p w14:paraId="2607EC4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进行泄漏检查，找出泄漏处并进行处理</w:t>
            </w:r>
          </w:p>
        </w:tc>
      </w:tr>
      <w:tr w:rsidR="00A42D3B" w14:paraId="2607EC48" w14:textId="77777777">
        <w:trPr>
          <w:trHeight w:val="501"/>
        </w:trPr>
        <w:tc>
          <w:tcPr>
            <w:tcW w:w="417" w:type="pct"/>
            <w:vMerge/>
            <w:vAlign w:val="center"/>
          </w:tcPr>
          <w:p w14:paraId="2607EC44"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45"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4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制冷剂</w:t>
            </w:r>
          </w:p>
        </w:tc>
        <w:tc>
          <w:tcPr>
            <w:tcW w:w="2675" w:type="pct"/>
            <w:vAlign w:val="center"/>
          </w:tcPr>
          <w:p w14:paraId="2607EC4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检查制冷剂是否满足，根据需要补充制冷剂</w:t>
            </w:r>
          </w:p>
        </w:tc>
      </w:tr>
      <w:tr w:rsidR="00A42D3B" w14:paraId="2607EC4D" w14:textId="77777777">
        <w:trPr>
          <w:trHeight w:val="501"/>
        </w:trPr>
        <w:tc>
          <w:tcPr>
            <w:tcW w:w="417" w:type="pct"/>
            <w:vMerge/>
            <w:vAlign w:val="center"/>
          </w:tcPr>
          <w:p w14:paraId="2607EC49" w14:textId="77777777" w:rsidR="00A42D3B" w:rsidRDefault="00A42D3B">
            <w:pPr>
              <w:spacing w:line="440" w:lineRule="exact"/>
              <w:rPr>
                <w:rFonts w:ascii="仿宋_GB2312" w:eastAsia="仿宋_GB2312" w:hAnsi="仿宋_GB2312" w:cs="仿宋_GB2312"/>
                <w:sz w:val="24"/>
              </w:rPr>
            </w:pPr>
          </w:p>
        </w:tc>
        <w:tc>
          <w:tcPr>
            <w:tcW w:w="613" w:type="pct"/>
            <w:vMerge/>
            <w:vAlign w:val="center"/>
          </w:tcPr>
          <w:p w14:paraId="2607EC4A" w14:textId="77777777" w:rsidR="00A42D3B" w:rsidRDefault="00A42D3B">
            <w:pPr>
              <w:spacing w:line="440" w:lineRule="exact"/>
              <w:rPr>
                <w:rFonts w:ascii="仿宋_GB2312" w:eastAsia="仿宋_GB2312" w:hAnsi="仿宋_GB2312" w:cs="仿宋_GB2312"/>
                <w:sz w:val="24"/>
              </w:rPr>
            </w:pPr>
          </w:p>
        </w:tc>
        <w:tc>
          <w:tcPr>
            <w:tcW w:w="1295" w:type="pct"/>
            <w:vAlign w:val="center"/>
          </w:tcPr>
          <w:p w14:paraId="2607EC4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制冷剂循环</w:t>
            </w:r>
          </w:p>
        </w:tc>
        <w:tc>
          <w:tcPr>
            <w:tcW w:w="2675" w:type="pct"/>
            <w:vAlign w:val="center"/>
          </w:tcPr>
          <w:p w14:paraId="2607EC4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检查制冷剂循环，确认处于正常平衡状态</w:t>
            </w:r>
          </w:p>
        </w:tc>
      </w:tr>
    </w:tbl>
    <w:p w14:paraId="06411B93" w14:textId="77777777" w:rsidR="00A42D3B" w:rsidRDefault="00507D1F">
      <w:pPr>
        <w:pStyle w:val="a7"/>
        <w:rPr>
          <w:rFonts w:ascii="仿宋_GB2312" w:eastAsia="仿宋_GB2312" w:hAnsi="仿宋_GB2312" w:cs="仿宋_GB2312"/>
          <w:sz w:val="24"/>
        </w:rPr>
      </w:pPr>
      <w:r>
        <w:rPr>
          <w:rFonts w:ascii="仿宋_GB2312" w:eastAsia="仿宋_GB2312" w:hAnsi="仿宋_GB2312" w:cs="仿宋_GB2312"/>
          <w:b/>
          <w:bCs/>
          <w:sz w:val="24"/>
        </w:rPr>
        <w:t>4</w:t>
      </w:r>
      <w:r>
        <w:rPr>
          <w:rFonts w:ascii="仿宋_GB2312" w:eastAsia="仿宋_GB2312" w:hAnsi="仿宋_GB2312" w:cs="仿宋_GB2312" w:hint="eastAsia"/>
          <w:b/>
          <w:bCs/>
          <w:sz w:val="24"/>
        </w:rPr>
        <w:t>.空调机组提供数字化维护保养服务：为更好地开展维保维修活动，也为了推进数字化管理工作，要求成交供应商需免费提供数字化维保服务。需包含以下功能：</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4"/>
        <w:gridCol w:w="7592"/>
      </w:tblGrid>
      <w:tr w:rsidR="00A42D3B" w14:paraId="75031709" w14:textId="77777777">
        <w:trPr>
          <w:trHeight w:val="410"/>
        </w:trPr>
        <w:tc>
          <w:tcPr>
            <w:tcW w:w="424" w:type="pct"/>
            <w:vAlign w:val="center"/>
          </w:tcPr>
          <w:p w14:paraId="30F3AECC"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序号</w:t>
            </w:r>
          </w:p>
        </w:tc>
        <w:tc>
          <w:tcPr>
            <w:tcW w:w="4576" w:type="pct"/>
            <w:vAlign w:val="center"/>
          </w:tcPr>
          <w:p w14:paraId="0F859A29"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服务内容</w:t>
            </w:r>
          </w:p>
        </w:tc>
      </w:tr>
      <w:tr w:rsidR="00A42D3B" w14:paraId="0A4638EB" w14:textId="77777777">
        <w:trPr>
          <w:trHeight w:val="520"/>
        </w:trPr>
        <w:tc>
          <w:tcPr>
            <w:tcW w:w="424" w:type="pct"/>
            <w:vAlign w:val="center"/>
          </w:tcPr>
          <w:p w14:paraId="1297A843"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4576" w:type="pct"/>
            <w:vAlign w:val="center"/>
          </w:tcPr>
          <w:p w14:paraId="5F1ECCB5"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远程巡检服务：成交供应商技术人员以及使用方人员可实时通过手机及网络客户端对机组运行情况进行查看。</w:t>
            </w:r>
          </w:p>
        </w:tc>
      </w:tr>
      <w:tr w:rsidR="00A42D3B" w14:paraId="039837DF" w14:textId="77777777">
        <w:trPr>
          <w:trHeight w:val="514"/>
        </w:trPr>
        <w:tc>
          <w:tcPr>
            <w:tcW w:w="424" w:type="pct"/>
            <w:vAlign w:val="center"/>
          </w:tcPr>
          <w:p w14:paraId="43023356"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4576" w:type="pct"/>
            <w:vAlign w:val="center"/>
          </w:tcPr>
          <w:p w14:paraId="46784B46"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设备故障检测和诊断：通过先进的故障检测和诊断算法（结合传感器/系统数据）自动检测冷水机组设备的异常现象以及对可能产生的故障进行提前预警</w:t>
            </w:r>
          </w:p>
        </w:tc>
      </w:tr>
      <w:tr w:rsidR="00A42D3B" w14:paraId="0793D8A1" w14:textId="77777777">
        <w:trPr>
          <w:trHeight w:val="522"/>
        </w:trPr>
        <w:tc>
          <w:tcPr>
            <w:tcW w:w="424" w:type="pct"/>
            <w:vAlign w:val="center"/>
          </w:tcPr>
          <w:p w14:paraId="01A40B7B"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4576" w:type="pct"/>
            <w:vAlign w:val="center"/>
          </w:tcPr>
          <w:p w14:paraId="0D591A45"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提供数据仪表板和每月的健康状态报告：通过数字化服务采集冷水机组的运行参数、系统时间序列等其他信息，提供冷水机组在线数据仪表板和设备健康状态报告。</w:t>
            </w:r>
          </w:p>
        </w:tc>
      </w:tr>
    </w:tbl>
    <w:p w14:paraId="2607EC4E" w14:textId="77777777" w:rsidR="00A42D3B" w:rsidRDefault="00A42D3B">
      <w:pPr>
        <w:spacing w:line="440" w:lineRule="exact"/>
        <w:rPr>
          <w:rFonts w:ascii="仿宋_GB2312" w:eastAsia="仿宋_GB2312" w:hAnsi="仿宋_GB2312" w:cs="仿宋_GB2312"/>
          <w:sz w:val="24"/>
        </w:rPr>
      </w:pPr>
    </w:p>
    <w:p w14:paraId="2607EC4F" w14:textId="6BB5C7E0" w:rsidR="00A42D3B" w:rsidRDefault="00507D1F" w:rsidP="00782045">
      <w:pPr>
        <w:widowControl/>
        <w:jc w:val="left"/>
        <w:rPr>
          <w:rFonts w:ascii="仿宋_GB2312" w:eastAsia="仿宋_GB2312" w:hAnsi="仿宋_GB2312" w:cs="仿宋_GB2312"/>
          <w:b/>
          <w:bCs/>
          <w:sz w:val="24"/>
        </w:rPr>
      </w:pPr>
      <w:r>
        <w:rPr>
          <w:rFonts w:ascii="仿宋_GB2312" w:eastAsia="仿宋_GB2312" w:hAnsi="仿宋_GB2312" w:cs="仿宋_GB2312"/>
          <w:b/>
          <w:bCs/>
          <w:sz w:val="24"/>
        </w:rPr>
        <w:br w:type="page"/>
      </w:r>
      <w:r>
        <w:rPr>
          <w:rFonts w:ascii="仿宋_GB2312" w:eastAsia="仿宋_GB2312" w:hAnsi="仿宋_GB2312" w:cs="仿宋_GB2312" w:hint="eastAsia"/>
          <w:b/>
          <w:bCs/>
          <w:sz w:val="24"/>
        </w:rPr>
        <w:lastRenderedPageBreak/>
        <w:t>（二）冷却塔维保内容</w:t>
      </w:r>
    </w:p>
    <w:tbl>
      <w:tblPr>
        <w:tblW w:w="495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81"/>
        <w:gridCol w:w="1830"/>
        <w:gridCol w:w="5704"/>
      </w:tblGrid>
      <w:tr w:rsidR="00A42D3B" w14:paraId="2607EC53" w14:textId="77777777">
        <w:trPr>
          <w:trHeight w:val="442"/>
        </w:trPr>
        <w:tc>
          <w:tcPr>
            <w:tcW w:w="414" w:type="pct"/>
            <w:vAlign w:val="center"/>
          </w:tcPr>
          <w:p w14:paraId="2607EC50"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序号</w:t>
            </w:r>
          </w:p>
        </w:tc>
        <w:tc>
          <w:tcPr>
            <w:tcW w:w="1114" w:type="pct"/>
            <w:vAlign w:val="center"/>
          </w:tcPr>
          <w:p w14:paraId="2607EC51"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维保计划</w:t>
            </w:r>
          </w:p>
        </w:tc>
        <w:tc>
          <w:tcPr>
            <w:tcW w:w="3472" w:type="pct"/>
            <w:vAlign w:val="center"/>
          </w:tcPr>
          <w:p w14:paraId="2607EC52"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维保内容</w:t>
            </w:r>
          </w:p>
        </w:tc>
      </w:tr>
      <w:tr w:rsidR="00A42D3B" w14:paraId="2607EC58" w14:textId="77777777">
        <w:trPr>
          <w:trHeight w:val="874"/>
        </w:trPr>
        <w:tc>
          <w:tcPr>
            <w:tcW w:w="414" w:type="pct"/>
            <w:vMerge w:val="restart"/>
            <w:vAlign w:val="center"/>
          </w:tcPr>
          <w:p w14:paraId="2607EC54"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1</w:t>
            </w:r>
          </w:p>
        </w:tc>
        <w:tc>
          <w:tcPr>
            <w:tcW w:w="1114" w:type="pct"/>
            <w:vMerge w:val="restart"/>
            <w:vAlign w:val="center"/>
          </w:tcPr>
          <w:p w14:paraId="2607EC55"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月度</w:t>
            </w:r>
          </w:p>
          <w:p w14:paraId="2607EC56" w14:textId="77777777" w:rsidR="00A42D3B" w:rsidRDefault="00A42D3B">
            <w:pPr>
              <w:spacing w:line="440" w:lineRule="exact"/>
              <w:jc w:val="center"/>
              <w:rPr>
                <w:rFonts w:ascii="仿宋_GB2312" w:eastAsia="仿宋_GB2312" w:hAnsi="仿宋_GB2312" w:cs="仿宋_GB2312"/>
                <w:sz w:val="24"/>
              </w:rPr>
            </w:pPr>
          </w:p>
        </w:tc>
        <w:tc>
          <w:tcPr>
            <w:tcW w:w="3472" w:type="pct"/>
            <w:vAlign w:val="center"/>
          </w:tcPr>
          <w:p w14:paraId="2607EC5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检查水流通过填料层密疏均匀，无偏流现象，无杂物堵塞检查补水浮球阀是否动作可靠，否则应修复；</w:t>
            </w:r>
          </w:p>
        </w:tc>
      </w:tr>
      <w:tr w:rsidR="00A42D3B" w14:paraId="2607EC5C" w14:textId="77777777">
        <w:trPr>
          <w:trHeight w:val="760"/>
        </w:trPr>
        <w:tc>
          <w:tcPr>
            <w:tcW w:w="414" w:type="pct"/>
            <w:vMerge/>
            <w:vAlign w:val="center"/>
          </w:tcPr>
          <w:p w14:paraId="2607EC59" w14:textId="77777777" w:rsidR="00A42D3B" w:rsidRDefault="00A42D3B">
            <w:pPr>
              <w:spacing w:line="440" w:lineRule="exact"/>
              <w:jc w:val="center"/>
              <w:rPr>
                <w:rFonts w:ascii="仿宋_GB2312" w:eastAsia="仿宋_GB2312" w:hAnsi="仿宋_GB2312" w:cs="仿宋_GB2312"/>
                <w:sz w:val="24"/>
              </w:rPr>
            </w:pPr>
          </w:p>
        </w:tc>
        <w:tc>
          <w:tcPr>
            <w:tcW w:w="1114" w:type="pct"/>
            <w:vMerge/>
            <w:vAlign w:val="center"/>
          </w:tcPr>
          <w:p w14:paraId="2607EC5A" w14:textId="77777777" w:rsidR="00A42D3B" w:rsidRDefault="00A42D3B">
            <w:pPr>
              <w:spacing w:line="440" w:lineRule="exact"/>
              <w:jc w:val="center"/>
              <w:rPr>
                <w:rFonts w:ascii="仿宋_GB2312" w:eastAsia="仿宋_GB2312" w:hAnsi="仿宋_GB2312" w:cs="仿宋_GB2312"/>
                <w:sz w:val="24"/>
              </w:rPr>
            </w:pPr>
          </w:p>
        </w:tc>
        <w:tc>
          <w:tcPr>
            <w:tcW w:w="3472" w:type="pct"/>
            <w:vAlign w:val="center"/>
          </w:tcPr>
          <w:p w14:paraId="2607EC5B" w14:textId="42C01905" w:rsidR="00A42D3B" w:rsidRDefault="000D4379">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运行期间</w:t>
            </w:r>
            <w:r w:rsidR="00507D1F">
              <w:rPr>
                <w:rFonts w:ascii="仿宋_GB2312" w:eastAsia="仿宋_GB2312" w:hAnsi="仿宋_GB2312" w:cs="仿宋_GB2312" w:hint="eastAsia"/>
                <w:sz w:val="24"/>
              </w:rPr>
              <w:t>每月疏通布水器（配水槽）孔眼。</w:t>
            </w:r>
          </w:p>
        </w:tc>
      </w:tr>
      <w:tr w:rsidR="00A42D3B" w14:paraId="2607EC60" w14:textId="77777777">
        <w:trPr>
          <w:trHeight w:val="575"/>
        </w:trPr>
        <w:tc>
          <w:tcPr>
            <w:tcW w:w="414" w:type="pct"/>
            <w:vMerge w:val="restart"/>
            <w:vAlign w:val="center"/>
          </w:tcPr>
          <w:p w14:paraId="2607EC5D"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2</w:t>
            </w:r>
          </w:p>
        </w:tc>
        <w:tc>
          <w:tcPr>
            <w:tcW w:w="1114" w:type="pct"/>
            <w:vMerge w:val="restart"/>
            <w:vAlign w:val="center"/>
          </w:tcPr>
          <w:p w14:paraId="2607EC5E"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季度</w:t>
            </w:r>
          </w:p>
        </w:tc>
        <w:tc>
          <w:tcPr>
            <w:tcW w:w="3472" w:type="pct"/>
            <w:vAlign w:val="center"/>
          </w:tcPr>
          <w:p w14:paraId="2607EC5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每2个月检查、调整一次风机皮带或更换；</w:t>
            </w:r>
          </w:p>
        </w:tc>
      </w:tr>
      <w:tr w:rsidR="00A42D3B" w14:paraId="2607EC64" w14:textId="77777777">
        <w:trPr>
          <w:trHeight w:val="575"/>
        </w:trPr>
        <w:tc>
          <w:tcPr>
            <w:tcW w:w="414" w:type="pct"/>
            <w:vMerge/>
            <w:vAlign w:val="center"/>
          </w:tcPr>
          <w:p w14:paraId="2607EC61" w14:textId="77777777" w:rsidR="00A42D3B" w:rsidRDefault="00A42D3B">
            <w:pPr>
              <w:spacing w:line="440" w:lineRule="exact"/>
              <w:jc w:val="center"/>
              <w:rPr>
                <w:rFonts w:ascii="仿宋_GB2312" w:eastAsia="仿宋_GB2312" w:hAnsi="仿宋_GB2312" w:cs="仿宋_GB2312"/>
                <w:sz w:val="24"/>
              </w:rPr>
            </w:pPr>
          </w:p>
        </w:tc>
        <w:tc>
          <w:tcPr>
            <w:tcW w:w="1114" w:type="pct"/>
            <w:vMerge/>
            <w:vAlign w:val="center"/>
          </w:tcPr>
          <w:p w14:paraId="2607EC62" w14:textId="77777777" w:rsidR="00A42D3B" w:rsidRDefault="00A42D3B">
            <w:pPr>
              <w:spacing w:line="440" w:lineRule="exact"/>
              <w:jc w:val="center"/>
              <w:rPr>
                <w:rFonts w:ascii="仿宋_GB2312" w:eastAsia="仿宋_GB2312" w:hAnsi="仿宋_GB2312" w:cs="仿宋_GB2312"/>
                <w:sz w:val="24"/>
              </w:rPr>
            </w:pPr>
          </w:p>
        </w:tc>
        <w:tc>
          <w:tcPr>
            <w:tcW w:w="3472" w:type="pct"/>
            <w:vAlign w:val="center"/>
          </w:tcPr>
          <w:p w14:paraId="2607EC6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清洗冷却塔(包括填料、集水槽)，清洁风扇风叶。</w:t>
            </w:r>
          </w:p>
        </w:tc>
      </w:tr>
      <w:tr w:rsidR="00A42D3B" w14:paraId="2607EC68" w14:textId="77777777">
        <w:trPr>
          <w:trHeight w:val="1306"/>
        </w:trPr>
        <w:tc>
          <w:tcPr>
            <w:tcW w:w="414" w:type="pct"/>
            <w:vMerge w:val="restart"/>
            <w:vAlign w:val="center"/>
          </w:tcPr>
          <w:p w14:paraId="2607EC65"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3</w:t>
            </w:r>
          </w:p>
        </w:tc>
        <w:tc>
          <w:tcPr>
            <w:tcW w:w="1114" w:type="pct"/>
            <w:vMerge w:val="restart"/>
            <w:vAlign w:val="center"/>
          </w:tcPr>
          <w:p w14:paraId="2607EC66"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年度</w:t>
            </w:r>
          </w:p>
        </w:tc>
        <w:tc>
          <w:tcPr>
            <w:tcW w:w="3472" w:type="pct"/>
            <w:vAlign w:val="center"/>
          </w:tcPr>
          <w:p w14:paraId="2607EC6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用500Ｖ摇表检测电机绝缘电阻应不低于0.5MΩ,否则应干燥处理电机线圈，干燥处理后仍达不到0.5MΩ以上时则应拆修电机线圈，并有检修记录；</w:t>
            </w:r>
          </w:p>
        </w:tc>
      </w:tr>
      <w:tr w:rsidR="00A42D3B" w14:paraId="2607EC6C" w14:textId="77777777">
        <w:trPr>
          <w:trHeight w:val="874"/>
        </w:trPr>
        <w:tc>
          <w:tcPr>
            <w:tcW w:w="414" w:type="pct"/>
            <w:vMerge/>
            <w:vAlign w:val="center"/>
          </w:tcPr>
          <w:p w14:paraId="2607EC69" w14:textId="77777777" w:rsidR="00A42D3B" w:rsidRDefault="00A42D3B">
            <w:pPr>
              <w:spacing w:line="440" w:lineRule="exact"/>
              <w:rPr>
                <w:rFonts w:ascii="仿宋_GB2312" w:eastAsia="仿宋_GB2312" w:hAnsi="仿宋_GB2312" w:cs="仿宋_GB2312"/>
                <w:sz w:val="24"/>
              </w:rPr>
            </w:pPr>
          </w:p>
        </w:tc>
        <w:tc>
          <w:tcPr>
            <w:tcW w:w="1114" w:type="pct"/>
            <w:vMerge/>
            <w:vAlign w:val="center"/>
          </w:tcPr>
          <w:p w14:paraId="2607EC6A" w14:textId="77777777" w:rsidR="00A42D3B" w:rsidRDefault="00A42D3B">
            <w:pPr>
              <w:spacing w:line="440" w:lineRule="exact"/>
              <w:rPr>
                <w:rFonts w:ascii="仿宋_GB2312" w:eastAsia="仿宋_GB2312" w:hAnsi="仿宋_GB2312" w:cs="仿宋_GB2312"/>
                <w:sz w:val="24"/>
              </w:rPr>
            </w:pPr>
          </w:p>
        </w:tc>
        <w:tc>
          <w:tcPr>
            <w:tcW w:w="3472" w:type="pct"/>
            <w:vAlign w:val="center"/>
          </w:tcPr>
          <w:p w14:paraId="2607EC6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检查电机、风扇是否转动灵活，如有阻滞现象则应加注润滑油；如有异常磨擦声则应更换同型号规格的轴承；</w:t>
            </w:r>
          </w:p>
        </w:tc>
      </w:tr>
      <w:tr w:rsidR="00A42D3B" w14:paraId="2607EC70" w14:textId="77777777">
        <w:trPr>
          <w:trHeight w:val="874"/>
        </w:trPr>
        <w:tc>
          <w:tcPr>
            <w:tcW w:w="414" w:type="pct"/>
            <w:vMerge/>
            <w:vAlign w:val="center"/>
          </w:tcPr>
          <w:p w14:paraId="2607EC6D" w14:textId="77777777" w:rsidR="00A42D3B" w:rsidRDefault="00A42D3B">
            <w:pPr>
              <w:spacing w:line="440" w:lineRule="exact"/>
              <w:rPr>
                <w:rFonts w:ascii="仿宋_GB2312" w:eastAsia="仿宋_GB2312" w:hAnsi="仿宋_GB2312" w:cs="仿宋_GB2312"/>
                <w:sz w:val="24"/>
              </w:rPr>
            </w:pPr>
          </w:p>
        </w:tc>
        <w:tc>
          <w:tcPr>
            <w:tcW w:w="1114" w:type="pct"/>
            <w:vMerge/>
            <w:vAlign w:val="center"/>
          </w:tcPr>
          <w:p w14:paraId="2607EC6E" w14:textId="77777777" w:rsidR="00A42D3B" w:rsidRDefault="00A42D3B">
            <w:pPr>
              <w:spacing w:line="440" w:lineRule="exact"/>
              <w:rPr>
                <w:rFonts w:ascii="仿宋_GB2312" w:eastAsia="仿宋_GB2312" w:hAnsi="仿宋_GB2312" w:cs="仿宋_GB2312"/>
                <w:sz w:val="24"/>
              </w:rPr>
            </w:pPr>
          </w:p>
        </w:tc>
        <w:tc>
          <w:tcPr>
            <w:tcW w:w="3472" w:type="pct"/>
            <w:vAlign w:val="center"/>
          </w:tcPr>
          <w:p w14:paraId="2607EC6F"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水塔填料如需全部取出去垢，则应全部取出一次性去垢；</w:t>
            </w:r>
          </w:p>
        </w:tc>
      </w:tr>
      <w:tr w:rsidR="00A42D3B" w14:paraId="2607EC74" w14:textId="77777777">
        <w:trPr>
          <w:trHeight w:val="575"/>
        </w:trPr>
        <w:tc>
          <w:tcPr>
            <w:tcW w:w="414" w:type="pct"/>
            <w:vMerge/>
            <w:vAlign w:val="center"/>
          </w:tcPr>
          <w:p w14:paraId="2607EC71" w14:textId="77777777" w:rsidR="00A42D3B" w:rsidRDefault="00A42D3B">
            <w:pPr>
              <w:spacing w:line="440" w:lineRule="exact"/>
              <w:rPr>
                <w:rFonts w:ascii="仿宋_GB2312" w:eastAsia="仿宋_GB2312" w:hAnsi="仿宋_GB2312" w:cs="仿宋_GB2312"/>
                <w:sz w:val="24"/>
              </w:rPr>
            </w:pPr>
          </w:p>
        </w:tc>
        <w:tc>
          <w:tcPr>
            <w:tcW w:w="1114" w:type="pct"/>
            <w:vMerge/>
            <w:vAlign w:val="center"/>
          </w:tcPr>
          <w:p w14:paraId="2607EC72" w14:textId="77777777" w:rsidR="00A42D3B" w:rsidRDefault="00A42D3B">
            <w:pPr>
              <w:spacing w:line="440" w:lineRule="exact"/>
              <w:rPr>
                <w:rFonts w:ascii="仿宋_GB2312" w:eastAsia="仿宋_GB2312" w:hAnsi="仿宋_GB2312" w:cs="仿宋_GB2312"/>
                <w:sz w:val="24"/>
              </w:rPr>
            </w:pPr>
          </w:p>
        </w:tc>
        <w:tc>
          <w:tcPr>
            <w:tcW w:w="3472" w:type="pct"/>
            <w:vAlign w:val="center"/>
          </w:tcPr>
          <w:p w14:paraId="2607EC73"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拧紧所有紧固件；</w:t>
            </w:r>
          </w:p>
        </w:tc>
      </w:tr>
      <w:tr w:rsidR="00A42D3B" w14:paraId="2607EC78" w14:textId="77777777">
        <w:trPr>
          <w:trHeight w:val="575"/>
        </w:trPr>
        <w:tc>
          <w:tcPr>
            <w:tcW w:w="414" w:type="pct"/>
            <w:vMerge/>
            <w:vAlign w:val="center"/>
          </w:tcPr>
          <w:p w14:paraId="2607EC75" w14:textId="77777777" w:rsidR="00A42D3B" w:rsidRDefault="00A42D3B">
            <w:pPr>
              <w:spacing w:line="440" w:lineRule="exact"/>
              <w:rPr>
                <w:rFonts w:ascii="仿宋_GB2312" w:eastAsia="仿宋_GB2312" w:hAnsi="仿宋_GB2312" w:cs="仿宋_GB2312"/>
                <w:sz w:val="24"/>
              </w:rPr>
            </w:pPr>
          </w:p>
        </w:tc>
        <w:tc>
          <w:tcPr>
            <w:tcW w:w="1114" w:type="pct"/>
            <w:vMerge/>
            <w:vAlign w:val="center"/>
          </w:tcPr>
          <w:p w14:paraId="2607EC76" w14:textId="77777777" w:rsidR="00A42D3B" w:rsidRDefault="00A42D3B">
            <w:pPr>
              <w:spacing w:line="440" w:lineRule="exact"/>
              <w:rPr>
                <w:rFonts w:ascii="仿宋_GB2312" w:eastAsia="仿宋_GB2312" w:hAnsi="仿宋_GB2312" w:cs="仿宋_GB2312"/>
                <w:sz w:val="24"/>
              </w:rPr>
            </w:pPr>
          </w:p>
        </w:tc>
        <w:tc>
          <w:tcPr>
            <w:tcW w:w="3472" w:type="pct"/>
            <w:vAlign w:val="center"/>
          </w:tcPr>
          <w:p w14:paraId="2607EC77"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对补水系统进行彻底检查。</w:t>
            </w:r>
          </w:p>
        </w:tc>
      </w:tr>
      <w:tr w:rsidR="00A42D3B" w14:paraId="7BD808E9" w14:textId="77777777">
        <w:trPr>
          <w:trHeight w:val="584"/>
        </w:trPr>
        <w:tc>
          <w:tcPr>
            <w:tcW w:w="5000" w:type="pct"/>
            <w:gridSpan w:val="3"/>
            <w:vAlign w:val="center"/>
          </w:tcPr>
          <w:p w14:paraId="0FE5BEDE"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维修计划</w:t>
            </w:r>
          </w:p>
        </w:tc>
      </w:tr>
      <w:tr w:rsidR="00A42D3B" w14:paraId="2607EC7C" w14:textId="77777777">
        <w:trPr>
          <w:trHeight w:val="584"/>
        </w:trPr>
        <w:tc>
          <w:tcPr>
            <w:tcW w:w="414" w:type="pct"/>
            <w:vAlign w:val="center"/>
          </w:tcPr>
          <w:p w14:paraId="2607EC79"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sz w:val="24"/>
              </w:rPr>
              <w:t>1</w:t>
            </w:r>
          </w:p>
        </w:tc>
        <w:tc>
          <w:tcPr>
            <w:tcW w:w="1114" w:type="pct"/>
            <w:vAlign w:val="center"/>
          </w:tcPr>
          <w:p w14:paraId="2607EC7A" w14:textId="77777777" w:rsidR="00A42D3B" w:rsidRDefault="00507D1F">
            <w:pPr>
              <w:spacing w:line="440" w:lineRule="exact"/>
              <w:jc w:val="center"/>
              <w:rPr>
                <w:rFonts w:ascii="仿宋_GB2312" w:eastAsia="仿宋_GB2312" w:hAnsi="仿宋_GB2312" w:cs="仿宋_GB2312"/>
                <w:sz w:val="24"/>
              </w:rPr>
            </w:pPr>
            <w:r>
              <w:rPr>
                <w:rFonts w:ascii="仿宋_GB2312" w:eastAsia="仿宋_GB2312" w:hAnsi="仿宋_GB2312" w:cs="仿宋_GB2312" w:hint="eastAsia"/>
                <w:sz w:val="24"/>
              </w:rPr>
              <w:t>全年</w:t>
            </w:r>
          </w:p>
        </w:tc>
        <w:tc>
          <w:tcPr>
            <w:tcW w:w="3472" w:type="pct"/>
            <w:vAlign w:val="center"/>
          </w:tcPr>
          <w:p w14:paraId="2607EC7B" w14:textId="77777777" w:rsidR="00A42D3B" w:rsidRDefault="00507D1F">
            <w:pPr>
              <w:spacing w:line="440" w:lineRule="exact"/>
              <w:rPr>
                <w:rFonts w:ascii="仿宋_GB2312" w:eastAsia="仿宋_GB2312" w:hAnsi="仿宋_GB2312" w:cs="仿宋_GB2312"/>
                <w:sz w:val="24"/>
              </w:rPr>
            </w:pPr>
            <w:r>
              <w:rPr>
                <w:rFonts w:ascii="仿宋_GB2312" w:eastAsia="仿宋_GB2312" w:hAnsi="仿宋_GB2312" w:cs="仿宋_GB2312" w:hint="eastAsia"/>
                <w:sz w:val="24"/>
              </w:rPr>
              <w:t>全年的应急维修服务，含配件、人工。</w:t>
            </w:r>
          </w:p>
        </w:tc>
      </w:tr>
    </w:tbl>
    <w:p w14:paraId="2607EC7D" w14:textId="77777777" w:rsidR="00A42D3B" w:rsidRDefault="00A42D3B">
      <w:pPr>
        <w:rPr>
          <w:rFonts w:ascii="仿宋_GB2312" w:eastAsia="仿宋_GB2312" w:hAnsi="仿宋_GB2312" w:cs="仿宋_GB2312"/>
          <w:sz w:val="24"/>
          <w:szCs w:val="24"/>
        </w:rPr>
      </w:pPr>
    </w:p>
    <w:sectPr w:rsidR="00A42D3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7FFAA6" w14:textId="77777777" w:rsidR="005E30D3" w:rsidRDefault="005E30D3" w:rsidP="006F4F53">
      <w:r>
        <w:separator/>
      </w:r>
    </w:p>
  </w:endnote>
  <w:endnote w:type="continuationSeparator" w:id="0">
    <w:p w14:paraId="4666C007" w14:textId="77777777" w:rsidR="005E30D3" w:rsidRDefault="005E30D3" w:rsidP="006F4F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Tms Rmn">
    <w:panose1 w:val="02020603040505020304"/>
    <w:charset w:val="00"/>
    <w:family w:val="auto"/>
    <w:pitch w:val="default"/>
    <w:sig w:usb0="00000000"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serif">
    <w:altName w:val="Segoe Print"/>
    <w:charset w:val="00"/>
    <w:family w:val="auto"/>
    <w:pitch w:val="default"/>
    <w:sig w:usb0="00000000" w:usb1="00000000" w:usb2="00000000" w:usb3="00000000" w:csb0="00040001" w:csb1="00000000"/>
  </w:font>
  <w:font w:name="Arial Unicode MS">
    <w:panose1 w:val="020B0604020202020204"/>
    <w:charset w:val="86"/>
    <w:family w:val="roman"/>
    <w:pitch w:val="default"/>
    <w:sig w:usb0="00000000" w:usb1="00000000" w:usb2="0000003F" w:usb3="00000000" w:csb0="603F01FF" w:csb1="FFFF0000"/>
  </w:font>
  <w:font w:name="方正小标宋简体">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A5C70" w14:textId="77777777" w:rsidR="005E30D3" w:rsidRDefault="005E30D3" w:rsidP="006F4F53">
      <w:r>
        <w:separator/>
      </w:r>
    </w:p>
  </w:footnote>
  <w:footnote w:type="continuationSeparator" w:id="0">
    <w:p w14:paraId="4E7E4F51" w14:textId="77777777" w:rsidR="005E30D3" w:rsidRDefault="005E30D3" w:rsidP="006F4F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E1C6327C"/>
    <w:multiLevelType w:val="multilevel"/>
    <w:tmpl w:val="E1C6327C"/>
    <w:lvl w:ilvl="0">
      <w:start w:val="1"/>
      <w:numFmt w:val="chineseCounting"/>
      <w:suff w:val="nothing"/>
      <w:lvlText w:val="%1、"/>
      <w:lvlJc w:val="left"/>
      <w:pPr>
        <w:tabs>
          <w:tab w:val="left" w:pos="0"/>
        </w:tabs>
        <w:ind w:left="0" w:firstLine="0"/>
      </w:pPr>
      <w:rPr>
        <w:rFonts w:ascii="宋体" w:eastAsia="宋体" w:hAnsi="宋体" w:cs="宋体" w:hint="eastAsia"/>
      </w:rPr>
    </w:lvl>
    <w:lvl w:ilvl="1">
      <w:start w:val="1"/>
      <w:numFmt w:val="chineseCounting"/>
      <w:pStyle w:val="05"/>
      <w:suff w:val="nothing"/>
      <w:lvlText w:val="(%2)"/>
      <w:lvlJc w:val="left"/>
      <w:pPr>
        <w:ind w:left="0" w:firstLine="0"/>
      </w:pPr>
      <w:rPr>
        <w:rFonts w:ascii="仿宋" w:eastAsia="仿宋" w:hAnsi="仿宋" w:cs="宋体" w:hint="eastAsia"/>
      </w:rPr>
    </w:lvl>
    <w:lvl w:ilvl="2">
      <w:start w:val="1"/>
      <w:numFmt w:val="decimal"/>
      <w:pStyle w:val="061"/>
      <w:suff w:val="nothing"/>
      <w:lvlText w:val="%3."/>
      <w:lvlJc w:val="left"/>
      <w:pPr>
        <w:ind w:left="0" w:firstLine="0"/>
      </w:pPr>
      <w:rPr>
        <w:rFonts w:ascii="宋体" w:eastAsia="宋体" w:hAnsi="宋体" w:cs="宋体" w:hint="eastAsia"/>
      </w:rPr>
    </w:lvl>
    <w:lvl w:ilvl="3">
      <w:start w:val="1"/>
      <w:numFmt w:val="decimal"/>
      <w:pStyle w:val="0711"/>
      <w:suff w:val="nothing"/>
      <w:lvlText w:val="%3.%4"/>
      <w:lvlJc w:val="left"/>
      <w:pPr>
        <w:ind w:left="0" w:firstLine="0"/>
      </w:pPr>
      <w:rPr>
        <w:rFonts w:ascii="宋体" w:eastAsia="宋体" w:hAnsi="宋体" w:cs="宋体" w:hint="eastAsia"/>
      </w:rPr>
    </w:lvl>
    <w:lvl w:ilvl="4">
      <w:start w:val="1"/>
      <w:numFmt w:val="decimal"/>
      <w:pStyle w:val="081"/>
      <w:suff w:val="nothing"/>
      <w:lvlText w:val="(%5)"/>
      <w:lvlJc w:val="left"/>
      <w:pPr>
        <w:ind w:left="0" w:firstLine="0"/>
      </w:pPr>
      <w:rPr>
        <w:rFonts w:ascii="宋体" w:eastAsia="宋体" w:hAnsi="宋体" w:cs="宋体" w:hint="eastAsia"/>
      </w:rPr>
    </w:lvl>
    <w:lvl w:ilvl="5">
      <w:start w:val="1"/>
      <w:numFmt w:val="decimal"/>
      <w:pStyle w:val="6"/>
      <w:suff w:val="nothing"/>
      <w:lvlText w:val="%6）"/>
      <w:lvlJc w:val="left"/>
      <w:pPr>
        <w:ind w:left="0" w:firstLine="402"/>
      </w:pPr>
      <w:rPr>
        <w:rFonts w:hint="eastAsia"/>
      </w:rPr>
    </w:lvl>
    <w:lvl w:ilvl="6">
      <w:start w:val="1"/>
      <w:numFmt w:val="lowerLetter"/>
      <w:pStyle w:val="7"/>
      <w:suff w:val="nothing"/>
      <w:lvlText w:val="%7．"/>
      <w:lvlJc w:val="left"/>
      <w:pPr>
        <w:ind w:left="0" w:firstLine="402"/>
      </w:pPr>
      <w:rPr>
        <w:rFonts w:hint="eastAsia"/>
      </w:rPr>
    </w:lvl>
    <w:lvl w:ilvl="7">
      <w:start w:val="1"/>
      <w:numFmt w:val="lowerLetter"/>
      <w:pStyle w:val="8"/>
      <w:suff w:val="nothing"/>
      <w:lvlText w:val="%8）"/>
      <w:lvlJc w:val="left"/>
      <w:pPr>
        <w:ind w:left="0" w:firstLine="402"/>
      </w:pPr>
      <w:rPr>
        <w:rFonts w:hint="eastAsia"/>
      </w:rPr>
    </w:lvl>
    <w:lvl w:ilvl="8">
      <w:start w:val="1"/>
      <w:numFmt w:val="lowerRoman"/>
      <w:pStyle w:val="9"/>
      <w:suff w:val="nothing"/>
      <w:lvlText w:val="%9 "/>
      <w:lvlJc w:val="left"/>
      <w:pPr>
        <w:ind w:left="0" w:firstLine="402"/>
      </w:pPr>
      <w:rPr>
        <w:rFonts w:hint="eastAsia"/>
      </w:rPr>
    </w:lvl>
  </w:abstractNum>
  <w:abstractNum w:abstractNumId="1" w15:restartNumberingAfterBreak="0">
    <w:nsid w:val="28B5A1A2"/>
    <w:multiLevelType w:val="singleLevel"/>
    <w:tmpl w:val="28B5A1A2"/>
    <w:lvl w:ilvl="0">
      <w:start w:val="1"/>
      <w:numFmt w:val="decimal"/>
      <w:suff w:val="nothing"/>
      <w:lvlText w:val="（%1）"/>
      <w:lvlJc w:val="left"/>
    </w:lvl>
  </w:abstractNum>
  <w:abstractNum w:abstractNumId="2" w15:restartNumberingAfterBreak="0">
    <w:nsid w:val="3EBB3C91"/>
    <w:multiLevelType w:val="multilevel"/>
    <w:tmpl w:val="3EBB3C91"/>
    <w:lvl w:ilvl="0">
      <w:start w:val="1"/>
      <w:numFmt w:val="chineseCountingThousand"/>
      <w:suff w:val="space"/>
      <w:lvlText w:val="%1. "/>
      <w:lvlJc w:val="left"/>
      <w:pPr>
        <w:ind w:left="907" w:hanging="907"/>
      </w:pPr>
      <w:rPr>
        <w:rFonts w:hint="eastAsia"/>
      </w:rPr>
    </w:lvl>
    <w:lvl w:ilvl="1">
      <w:start w:val="1"/>
      <w:numFmt w:val="decimal"/>
      <w:isLgl/>
      <w:suff w:val="space"/>
      <w:lvlText w:val="%1.%2 "/>
      <w:lvlJc w:val="left"/>
      <w:pPr>
        <w:ind w:left="794" w:hanging="794"/>
      </w:pPr>
    </w:lvl>
    <w:lvl w:ilvl="2">
      <w:numFmt w:val="none"/>
      <w:lvlText w:val=""/>
      <w:lvlJc w:val="left"/>
      <w:pPr>
        <w:tabs>
          <w:tab w:val="left" w:pos="360"/>
        </w:tabs>
      </w:pPr>
      <w:rPr>
        <w:rFonts w:cs="Times New Roman"/>
      </w:rPr>
    </w:lvl>
    <w:lvl w:ilvl="3">
      <w:numFmt w:val="none"/>
      <w:lvlText w:val=""/>
      <w:lvlJc w:val="left"/>
      <w:pPr>
        <w:tabs>
          <w:tab w:val="left" w:pos="360"/>
        </w:tabs>
      </w:pPr>
      <w:rPr>
        <w:rFonts w:cs="Times New Roman"/>
      </w:rPr>
    </w:lvl>
    <w:lvl w:ilvl="4">
      <w:numFmt w:val="decimal"/>
      <w:pStyle w:val="5"/>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Y0MTdiNzZiZTc1OTU0ZjA5ZTcyOTAzNzQxOWU3OWYifQ=="/>
  </w:docVars>
  <w:rsids>
    <w:rsidRoot w:val="00DA5967"/>
    <w:rsid w:val="00024309"/>
    <w:rsid w:val="000421F1"/>
    <w:rsid w:val="00073EE9"/>
    <w:rsid w:val="000A3A40"/>
    <w:rsid w:val="000B1CD6"/>
    <w:rsid w:val="000D4379"/>
    <w:rsid w:val="0016054A"/>
    <w:rsid w:val="00201AF9"/>
    <w:rsid w:val="00246F54"/>
    <w:rsid w:val="0026759B"/>
    <w:rsid w:val="00272107"/>
    <w:rsid w:val="00291EA1"/>
    <w:rsid w:val="002A22ED"/>
    <w:rsid w:val="002A74DD"/>
    <w:rsid w:val="00305399"/>
    <w:rsid w:val="00373C7B"/>
    <w:rsid w:val="00374B72"/>
    <w:rsid w:val="00376EDA"/>
    <w:rsid w:val="0038005E"/>
    <w:rsid w:val="00396057"/>
    <w:rsid w:val="003B2162"/>
    <w:rsid w:val="0045556C"/>
    <w:rsid w:val="0048002C"/>
    <w:rsid w:val="00507D1F"/>
    <w:rsid w:val="005D2497"/>
    <w:rsid w:val="005E30D3"/>
    <w:rsid w:val="00684AE3"/>
    <w:rsid w:val="006A13A8"/>
    <w:rsid w:val="006D70ED"/>
    <w:rsid w:val="006F4F53"/>
    <w:rsid w:val="00775D9D"/>
    <w:rsid w:val="00782045"/>
    <w:rsid w:val="00782E26"/>
    <w:rsid w:val="007C1369"/>
    <w:rsid w:val="007E0248"/>
    <w:rsid w:val="008424E6"/>
    <w:rsid w:val="00855424"/>
    <w:rsid w:val="00895B72"/>
    <w:rsid w:val="009247BF"/>
    <w:rsid w:val="00A42D3B"/>
    <w:rsid w:val="00BE32F3"/>
    <w:rsid w:val="00BE7E85"/>
    <w:rsid w:val="00C33FBF"/>
    <w:rsid w:val="00C85FCB"/>
    <w:rsid w:val="00C92CFC"/>
    <w:rsid w:val="00CD3536"/>
    <w:rsid w:val="00D358CB"/>
    <w:rsid w:val="00D7045D"/>
    <w:rsid w:val="00DA5967"/>
    <w:rsid w:val="00DF7885"/>
    <w:rsid w:val="00E17146"/>
    <w:rsid w:val="00E207FB"/>
    <w:rsid w:val="00E366C2"/>
    <w:rsid w:val="00EB7B16"/>
    <w:rsid w:val="00EF15F9"/>
    <w:rsid w:val="00FA32C8"/>
    <w:rsid w:val="00FD50CC"/>
    <w:rsid w:val="0160084E"/>
    <w:rsid w:val="03540FD8"/>
    <w:rsid w:val="112A22DF"/>
    <w:rsid w:val="197607B7"/>
    <w:rsid w:val="1A1B4EBB"/>
    <w:rsid w:val="1C856F63"/>
    <w:rsid w:val="1F083C0B"/>
    <w:rsid w:val="20A556E2"/>
    <w:rsid w:val="23E46C65"/>
    <w:rsid w:val="276C31F9"/>
    <w:rsid w:val="2D3A16A4"/>
    <w:rsid w:val="2E67471B"/>
    <w:rsid w:val="2E870D7F"/>
    <w:rsid w:val="2EE43FBD"/>
    <w:rsid w:val="3F3159FD"/>
    <w:rsid w:val="3F377B1F"/>
    <w:rsid w:val="45EC57D9"/>
    <w:rsid w:val="46142465"/>
    <w:rsid w:val="47E035F6"/>
    <w:rsid w:val="495A6EFE"/>
    <w:rsid w:val="51901536"/>
    <w:rsid w:val="54316FFE"/>
    <w:rsid w:val="591470C9"/>
    <w:rsid w:val="622C5484"/>
    <w:rsid w:val="67B05E47"/>
    <w:rsid w:val="6ED529FF"/>
    <w:rsid w:val="75F96FD3"/>
    <w:rsid w:val="76F61E90"/>
    <w:rsid w:val="7C4F3DF1"/>
    <w:rsid w:val="7DE95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0DC437"/>
  <w15:docId w15:val="{E7F971F7-0B7E-44F6-96BD-3C486B84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0" w:qFormat="1"/>
    <w:lsdException w:name="toc 3"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uiPriority="0" w:qFormat="1"/>
    <w:lsdException w:name="header" w:uiPriority="0"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uiPriority="0" w:unhideWhenUsed="1"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0" w:qFormat="1"/>
    <w:lsdException w:name="Emphasis" w:uiPriority="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uiPriority="0" w:qFormat="1"/>
    <w:lsdException w:name="HTML Code" w:uiPriority="0" w:qFormat="1"/>
    <w:lsdException w:name="HTML Definition" w:uiPriority="0" w:qFormat="1"/>
    <w:lsdException w:name="HTML Keyboard" w:uiPriority="0" w:qFormat="1"/>
    <w:lsdException w:name="HTML Preformatted" w:semiHidden="1" w:unhideWhenUsed="1"/>
    <w:lsdException w:name="HTML Sample" w:uiPriority="0" w:qFormat="1"/>
    <w:lsdException w:name="HTML Typewriter" w:semiHidden="1" w:unhideWhenUsed="1"/>
    <w:lsdException w:name="HTML Variable" w:uiPriority="0" w:qFormat="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autoRedefine/>
    <w:qFormat/>
    <w:pPr>
      <w:widowControl w:val="0"/>
      <w:jc w:val="both"/>
    </w:pPr>
    <w:rPr>
      <w:rFonts w:ascii="宋体" w:eastAsia="宋体" w:hAnsi="Calibri" w:cs="Times New Roman"/>
      <w:sz w:val="3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autoRedefine/>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autoRedefine/>
    <w:qFormat/>
    <w:pPr>
      <w:keepNext/>
      <w:keepLines/>
      <w:spacing w:before="260" w:after="260" w:line="416" w:lineRule="auto"/>
      <w:outlineLvl w:val="2"/>
    </w:pPr>
    <w:rPr>
      <w:b/>
      <w:bCs/>
      <w:sz w:val="32"/>
      <w:szCs w:val="32"/>
    </w:rPr>
  </w:style>
  <w:style w:type="paragraph" w:styleId="4">
    <w:name w:val="heading 4"/>
    <w:basedOn w:val="a"/>
    <w:next w:val="a"/>
    <w:link w:val="40"/>
    <w:autoRedefine/>
    <w:qFormat/>
    <w:pPr>
      <w:keepNext/>
      <w:keepLines/>
      <w:spacing w:before="280" w:after="290" w:line="376" w:lineRule="auto"/>
      <w:outlineLvl w:val="3"/>
    </w:pPr>
    <w:rPr>
      <w:rFonts w:ascii="Cambria" w:hAnsi="Cambria"/>
      <w:b/>
      <w:bCs/>
      <w:sz w:val="28"/>
      <w:szCs w:val="28"/>
    </w:rPr>
  </w:style>
  <w:style w:type="paragraph" w:styleId="50">
    <w:name w:val="heading 5"/>
    <w:basedOn w:val="a"/>
    <w:next w:val="a"/>
    <w:link w:val="51"/>
    <w:autoRedefine/>
    <w:qFormat/>
    <w:pPr>
      <w:keepNext/>
      <w:keepLines/>
      <w:spacing w:before="280" w:after="290" w:line="376" w:lineRule="auto"/>
      <w:outlineLvl w:val="4"/>
    </w:pPr>
    <w:rPr>
      <w:rFonts w:ascii="Times New Roman" w:hAnsi="Times New Roman"/>
      <w:b/>
      <w:bCs/>
      <w:sz w:val="28"/>
      <w:szCs w:val="28"/>
    </w:rPr>
  </w:style>
  <w:style w:type="paragraph" w:styleId="6">
    <w:name w:val="heading 6"/>
    <w:basedOn w:val="a"/>
    <w:next w:val="a"/>
    <w:link w:val="60"/>
    <w:autoRedefine/>
    <w:semiHidden/>
    <w:unhideWhenUsed/>
    <w:qFormat/>
    <w:pPr>
      <w:keepNext/>
      <w:keepLines/>
      <w:numPr>
        <w:ilvl w:val="5"/>
        <w:numId w:val="1"/>
      </w:numPr>
      <w:tabs>
        <w:tab w:val="left" w:pos="0"/>
      </w:tabs>
      <w:adjustRightInd w:val="0"/>
      <w:snapToGrid w:val="0"/>
      <w:spacing w:before="240" w:after="64" w:line="317" w:lineRule="auto"/>
      <w:jc w:val="left"/>
      <w:outlineLvl w:val="5"/>
    </w:pPr>
    <w:rPr>
      <w:rFonts w:ascii="Arial" w:eastAsia="黑体" w:hAnsi="Arial"/>
      <w:b/>
      <w:kern w:val="2"/>
      <w:sz w:val="24"/>
      <w:szCs w:val="24"/>
    </w:rPr>
  </w:style>
  <w:style w:type="paragraph" w:styleId="7">
    <w:name w:val="heading 7"/>
    <w:basedOn w:val="a"/>
    <w:next w:val="a"/>
    <w:link w:val="70"/>
    <w:autoRedefine/>
    <w:semiHidden/>
    <w:unhideWhenUsed/>
    <w:qFormat/>
    <w:pPr>
      <w:keepNext/>
      <w:keepLines/>
      <w:numPr>
        <w:ilvl w:val="6"/>
        <w:numId w:val="1"/>
      </w:numPr>
      <w:tabs>
        <w:tab w:val="left" w:pos="0"/>
      </w:tabs>
      <w:adjustRightInd w:val="0"/>
      <w:snapToGrid w:val="0"/>
      <w:spacing w:before="240" w:after="64" w:line="317" w:lineRule="auto"/>
      <w:jc w:val="left"/>
      <w:outlineLvl w:val="6"/>
    </w:pPr>
    <w:rPr>
      <w:rFonts w:hAnsi="宋体"/>
      <w:b/>
      <w:kern w:val="2"/>
      <w:sz w:val="24"/>
      <w:szCs w:val="24"/>
    </w:rPr>
  </w:style>
  <w:style w:type="paragraph" w:styleId="8">
    <w:name w:val="heading 8"/>
    <w:basedOn w:val="a"/>
    <w:next w:val="a"/>
    <w:link w:val="80"/>
    <w:autoRedefine/>
    <w:semiHidden/>
    <w:unhideWhenUsed/>
    <w:qFormat/>
    <w:pPr>
      <w:keepNext/>
      <w:keepLines/>
      <w:numPr>
        <w:ilvl w:val="7"/>
        <w:numId w:val="1"/>
      </w:numPr>
      <w:tabs>
        <w:tab w:val="left" w:pos="0"/>
      </w:tabs>
      <w:adjustRightInd w:val="0"/>
      <w:snapToGrid w:val="0"/>
      <w:spacing w:before="240" w:after="64" w:line="317" w:lineRule="auto"/>
      <w:jc w:val="left"/>
      <w:outlineLvl w:val="7"/>
    </w:pPr>
    <w:rPr>
      <w:rFonts w:ascii="Arial" w:eastAsia="黑体" w:hAnsi="Arial"/>
      <w:kern w:val="2"/>
      <w:sz w:val="24"/>
      <w:szCs w:val="24"/>
    </w:rPr>
  </w:style>
  <w:style w:type="paragraph" w:styleId="9">
    <w:name w:val="heading 9"/>
    <w:basedOn w:val="a"/>
    <w:next w:val="a"/>
    <w:link w:val="90"/>
    <w:autoRedefine/>
    <w:semiHidden/>
    <w:unhideWhenUsed/>
    <w:qFormat/>
    <w:pPr>
      <w:keepNext/>
      <w:keepLines/>
      <w:numPr>
        <w:ilvl w:val="8"/>
        <w:numId w:val="1"/>
      </w:numPr>
      <w:tabs>
        <w:tab w:val="left" w:pos="0"/>
      </w:tabs>
      <w:adjustRightInd w:val="0"/>
      <w:snapToGrid w:val="0"/>
      <w:spacing w:before="240" w:after="64" w:line="317" w:lineRule="auto"/>
      <w:jc w:val="left"/>
      <w:outlineLvl w:val="8"/>
    </w:pPr>
    <w:rPr>
      <w:rFonts w:ascii="Arial" w:eastAsia="黑体"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autoRedefine/>
    <w:qFormat/>
    <w:pPr>
      <w:ind w:firstLineChars="200" w:firstLine="420"/>
    </w:pPr>
    <w:rPr>
      <w:rFonts w:ascii="Calibri"/>
      <w:kern w:val="2"/>
      <w:sz w:val="21"/>
      <w:szCs w:val="24"/>
    </w:rPr>
  </w:style>
  <w:style w:type="paragraph" w:styleId="a5">
    <w:name w:val="annotation text"/>
    <w:basedOn w:val="a"/>
    <w:link w:val="a6"/>
    <w:autoRedefine/>
    <w:qFormat/>
    <w:pPr>
      <w:jc w:val="left"/>
    </w:pPr>
    <w:rPr>
      <w:rFonts w:ascii="Calibri"/>
      <w:kern w:val="2"/>
      <w:sz w:val="18"/>
    </w:rPr>
  </w:style>
  <w:style w:type="paragraph" w:styleId="a7">
    <w:name w:val="Body Text"/>
    <w:basedOn w:val="a"/>
    <w:next w:val="a"/>
    <w:link w:val="a8"/>
    <w:autoRedefine/>
    <w:qFormat/>
    <w:pPr>
      <w:spacing w:after="120"/>
    </w:pPr>
    <w:rPr>
      <w:rFonts w:ascii="Times New Roman"/>
      <w:kern w:val="2"/>
      <w:sz w:val="21"/>
      <w:szCs w:val="24"/>
    </w:rPr>
  </w:style>
  <w:style w:type="paragraph" w:styleId="a9">
    <w:name w:val="Body Text Indent"/>
    <w:basedOn w:val="a"/>
    <w:link w:val="aa"/>
    <w:autoRedefine/>
    <w:qFormat/>
    <w:pPr>
      <w:ind w:firstLine="630"/>
    </w:pPr>
    <w:rPr>
      <w:rFonts w:ascii="Calibri"/>
      <w:kern w:val="2"/>
      <w:sz w:val="32"/>
    </w:rPr>
  </w:style>
  <w:style w:type="paragraph" w:styleId="TOC3">
    <w:name w:val="toc 3"/>
    <w:basedOn w:val="a"/>
    <w:next w:val="a"/>
    <w:autoRedefine/>
    <w:qFormat/>
    <w:pPr>
      <w:ind w:leftChars="400" w:left="840"/>
    </w:pPr>
  </w:style>
  <w:style w:type="paragraph" w:styleId="ab">
    <w:name w:val="Plain Text"/>
    <w:basedOn w:val="a"/>
    <w:link w:val="ac"/>
    <w:autoRedefine/>
    <w:qFormat/>
    <w:pPr>
      <w:autoSpaceDE w:val="0"/>
      <w:autoSpaceDN w:val="0"/>
      <w:adjustRightInd w:val="0"/>
    </w:pPr>
    <w:rPr>
      <w:rFonts w:hAnsi="Tms Rmn"/>
      <w:sz w:val="21"/>
    </w:rPr>
  </w:style>
  <w:style w:type="paragraph" w:styleId="21">
    <w:name w:val="Body Text Indent 2"/>
    <w:basedOn w:val="a"/>
    <w:link w:val="22"/>
    <w:autoRedefine/>
    <w:qFormat/>
    <w:pPr>
      <w:spacing w:after="120" w:line="480" w:lineRule="auto"/>
      <w:ind w:leftChars="200" w:left="420"/>
    </w:pPr>
  </w:style>
  <w:style w:type="paragraph" w:styleId="ad">
    <w:name w:val="Balloon Text"/>
    <w:basedOn w:val="a"/>
    <w:link w:val="ae"/>
    <w:autoRedefine/>
    <w:semiHidden/>
    <w:qFormat/>
    <w:rPr>
      <w:sz w:val="18"/>
      <w:szCs w:val="18"/>
    </w:rPr>
  </w:style>
  <w:style w:type="paragraph" w:styleId="af">
    <w:name w:val="footer"/>
    <w:basedOn w:val="a"/>
    <w:link w:val="af0"/>
    <w:autoRedefine/>
    <w:uiPriority w:val="99"/>
    <w:qFormat/>
    <w:pPr>
      <w:tabs>
        <w:tab w:val="center" w:pos="4153"/>
        <w:tab w:val="right" w:pos="8306"/>
      </w:tabs>
      <w:snapToGrid w:val="0"/>
      <w:jc w:val="left"/>
    </w:pPr>
    <w:rPr>
      <w:rFonts w:ascii="Calibri"/>
      <w:kern w:val="2"/>
      <w:sz w:val="18"/>
    </w:rPr>
  </w:style>
  <w:style w:type="paragraph" w:styleId="af1">
    <w:name w:val="header"/>
    <w:basedOn w:val="a"/>
    <w:link w:val="af2"/>
    <w:autoRedefine/>
    <w:qFormat/>
    <w:pPr>
      <w:pBdr>
        <w:bottom w:val="single" w:sz="6" w:space="1" w:color="auto"/>
      </w:pBdr>
      <w:tabs>
        <w:tab w:val="center" w:pos="4153"/>
        <w:tab w:val="right" w:pos="8306"/>
      </w:tabs>
      <w:snapToGrid w:val="0"/>
      <w:jc w:val="center"/>
    </w:pPr>
    <w:rPr>
      <w:rFonts w:ascii="Calibri"/>
      <w:kern w:val="2"/>
      <w:sz w:val="18"/>
    </w:rPr>
  </w:style>
  <w:style w:type="paragraph" w:styleId="TOC1">
    <w:name w:val="toc 1"/>
    <w:basedOn w:val="a"/>
    <w:next w:val="a"/>
    <w:autoRedefine/>
    <w:uiPriority w:val="39"/>
    <w:qFormat/>
  </w:style>
  <w:style w:type="paragraph" w:styleId="af3">
    <w:name w:val="Subtitle"/>
    <w:basedOn w:val="a"/>
    <w:next w:val="a"/>
    <w:link w:val="af4"/>
    <w:autoRedefine/>
    <w:qFormat/>
    <w:pPr>
      <w:spacing w:before="240" w:after="60" w:line="312" w:lineRule="auto"/>
      <w:jc w:val="center"/>
      <w:outlineLvl w:val="1"/>
    </w:pPr>
    <w:rPr>
      <w:rFonts w:ascii="Arial" w:hAnsi="Arial" w:cs="Arial"/>
      <w:b/>
      <w:bCs/>
      <w:kern w:val="28"/>
      <w:sz w:val="32"/>
      <w:szCs w:val="32"/>
    </w:rPr>
  </w:style>
  <w:style w:type="paragraph" w:styleId="31">
    <w:name w:val="Body Text Indent 3"/>
    <w:basedOn w:val="a"/>
    <w:link w:val="32"/>
    <w:autoRedefine/>
    <w:qFormat/>
    <w:pPr>
      <w:spacing w:after="120"/>
      <w:ind w:leftChars="200" w:left="420"/>
    </w:pPr>
    <w:rPr>
      <w:rFonts w:ascii="Calibri"/>
      <w:kern w:val="2"/>
      <w:sz w:val="16"/>
      <w:szCs w:val="16"/>
    </w:rPr>
  </w:style>
  <w:style w:type="paragraph" w:styleId="TOC2">
    <w:name w:val="toc 2"/>
    <w:basedOn w:val="a"/>
    <w:next w:val="a"/>
    <w:autoRedefine/>
    <w:qFormat/>
    <w:pPr>
      <w:ind w:leftChars="200" w:left="420"/>
    </w:pPr>
  </w:style>
  <w:style w:type="paragraph" w:styleId="af5">
    <w:name w:val="Normal (Web)"/>
    <w:basedOn w:val="a"/>
    <w:autoRedefine/>
    <w:uiPriority w:val="99"/>
    <w:qFormat/>
    <w:pPr>
      <w:widowControl/>
      <w:spacing w:before="100" w:beforeAutospacing="1" w:after="100" w:afterAutospacing="1"/>
      <w:jc w:val="left"/>
    </w:pPr>
    <w:rPr>
      <w:rFonts w:hAnsi="宋体"/>
      <w:sz w:val="18"/>
      <w:szCs w:val="18"/>
    </w:rPr>
  </w:style>
  <w:style w:type="paragraph" w:styleId="af6">
    <w:name w:val="annotation subject"/>
    <w:basedOn w:val="a5"/>
    <w:next w:val="a5"/>
    <w:link w:val="af7"/>
    <w:autoRedefine/>
    <w:qFormat/>
    <w:rPr>
      <w:b/>
      <w:bCs/>
      <w:sz w:val="21"/>
      <w:szCs w:val="24"/>
    </w:rPr>
  </w:style>
  <w:style w:type="paragraph" w:styleId="af8">
    <w:name w:val="Body Text First Indent"/>
    <w:basedOn w:val="a7"/>
    <w:link w:val="af9"/>
    <w:unhideWhenUsed/>
    <w:qFormat/>
    <w:pPr>
      <w:autoSpaceDE w:val="0"/>
      <w:autoSpaceDN w:val="0"/>
      <w:adjustRightInd w:val="0"/>
      <w:ind w:firstLine="420"/>
    </w:pPr>
    <w:rPr>
      <w:rFonts w:ascii="宋体"/>
      <w:szCs w:val="20"/>
      <w:lang w:val="zh-CN"/>
    </w:rPr>
  </w:style>
  <w:style w:type="paragraph" w:styleId="23">
    <w:name w:val="Body Text First Indent 2"/>
    <w:basedOn w:val="a9"/>
    <w:link w:val="24"/>
    <w:qFormat/>
    <w:pPr>
      <w:spacing w:line="360" w:lineRule="auto"/>
      <w:ind w:firstLineChars="200" w:firstLine="420"/>
      <w:jc w:val="left"/>
    </w:pPr>
    <w:rPr>
      <w:rFonts w:ascii="宋体" w:eastAsia="仿宋_GB2312" w:hAnsi="宋体" w:hint="eastAsia"/>
      <w:spacing w:val="15"/>
      <w:kern w:val="10"/>
      <w:sz w:val="24"/>
      <w:szCs w:val="24"/>
    </w:rPr>
  </w:style>
  <w:style w:type="table" w:styleId="afa">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b">
    <w:name w:val="Strong"/>
    <w:autoRedefine/>
    <w:qFormat/>
    <w:rPr>
      <w:b/>
    </w:rPr>
  </w:style>
  <w:style w:type="character" w:styleId="afc">
    <w:name w:val="page number"/>
    <w:autoRedefine/>
    <w:qFormat/>
  </w:style>
  <w:style w:type="character" w:styleId="afd">
    <w:name w:val="FollowedHyperlink"/>
    <w:autoRedefine/>
    <w:qFormat/>
    <w:rPr>
      <w:color w:val="333333"/>
      <w:u w:val="none"/>
    </w:rPr>
  </w:style>
  <w:style w:type="character" w:styleId="afe">
    <w:name w:val="Emphasis"/>
    <w:autoRedefine/>
    <w:qFormat/>
  </w:style>
  <w:style w:type="character" w:styleId="HTML">
    <w:name w:val="HTML Definition"/>
    <w:autoRedefine/>
    <w:qFormat/>
  </w:style>
  <w:style w:type="character" w:styleId="HTML0">
    <w:name w:val="HTML Variable"/>
    <w:autoRedefine/>
    <w:qFormat/>
  </w:style>
  <w:style w:type="character" w:styleId="aff">
    <w:name w:val="Hyperlink"/>
    <w:autoRedefine/>
    <w:uiPriority w:val="99"/>
    <w:qFormat/>
    <w:rPr>
      <w:color w:val="333333"/>
      <w:u w:val="none"/>
    </w:rPr>
  </w:style>
  <w:style w:type="character" w:styleId="HTML1">
    <w:name w:val="HTML Code"/>
    <w:autoRedefine/>
    <w:qFormat/>
    <w:rPr>
      <w:rFonts w:ascii="Courier New" w:hAnsi="Courier New"/>
      <w:sz w:val="20"/>
    </w:rPr>
  </w:style>
  <w:style w:type="character" w:styleId="aff0">
    <w:name w:val="annotation reference"/>
    <w:autoRedefine/>
    <w:qFormat/>
    <w:rPr>
      <w:sz w:val="21"/>
      <w:szCs w:val="21"/>
    </w:rPr>
  </w:style>
  <w:style w:type="character" w:styleId="HTML2">
    <w:name w:val="HTML Cite"/>
    <w:autoRedefine/>
    <w:qFormat/>
  </w:style>
  <w:style w:type="character" w:styleId="HTML3">
    <w:name w:val="HTML Keyboard"/>
    <w:autoRedefine/>
    <w:qFormat/>
    <w:rPr>
      <w:rFonts w:ascii="serif" w:eastAsia="serif" w:hAnsi="serif" w:cs="serif"/>
      <w:sz w:val="21"/>
      <w:szCs w:val="21"/>
    </w:rPr>
  </w:style>
  <w:style w:type="character" w:styleId="HTML4">
    <w:name w:val="HTML Sample"/>
    <w:autoRedefine/>
    <w:qFormat/>
    <w:rPr>
      <w:rFonts w:ascii="serif" w:eastAsia="serif" w:hAnsi="serif" w:cs="serif" w:hint="default"/>
      <w:sz w:val="21"/>
      <w:szCs w:val="21"/>
    </w:rPr>
  </w:style>
  <w:style w:type="character" w:customStyle="1" w:styleId="10">
    <w:name w:val="标题 1 字符"/>
    <w:basedOn w:val="a0"/>
    <w:link w:val="1"/>
    <w:autoRedefine/>
    <w:qFormat/>
    <w:rPr>
      <w:rFonts w:ascii="宋体" w:eastAsia="宋体" w:hAnsi="Calibri" w:cs="Times New Roman"/>
      <w:b/>
      <w:bCs/>
      <w:kern w:val="44"/>
      <w:sz w:val="44"/>
      <w:szCs w:val="44"/>
      <w14:ligatures w14:val="none"/>
    </w:rPr>
  </w:style>
  <w:style w:type="character" w:customStyle="1" w:styleId="20">
    <w:name w:val="标题 2 字符"/>
    <w:basedOn w:val="a0"/>
    <w:link w:val="2"/>
    <w:autoRedefine/>
    <w:qFormat/>
    <w:rPr>
      <w:rFonts w:ascii="Arial" w:eastAsia="黑体" w:hAnsi="Arial" w:cs="Times New Roman"/>
      <w:b/>
      <w:bCs/>
      <w:kern w:val="0"/>
      <w:sz w:val="32"/>
      <w:szCs w:val="32"/>
      <w14:ligatures w14:val="none"/>
    </w:rPr>
  </w:style>
  <w:style w:type="character" w:customStyle="1" w:styleId="30">
    <w:name w:val="标题 3 字符"/>
    <w:basedOn w:val="a0"/>
    <w:link w:val="3"/>
    <w:autoRedefine/>
    <w:qFormat/>
    <w:rPr>
      <w:rFonts w:ascii="宋体" w:eastAsia="宋体" w:hAnsi="Calibri" w:cs="Times New Roman"/>
      <w:b/>
      <w:bCs/>
      <w:kern w:val="0"/>
      <w:sz w:val="32"/>
      <w:szCs w:val="32"/>
      <w14:ligatures w14:val="none"/>
    </w:rPr>
  </w:style>
  <w:style w:type="character" w:customStyle="1" w:styleId="40">
    <w:name w:val="标题 4 字符"/>
    <w:basedOn w:val="a0"/>
    <w:link w:val="4"/>
    <w:autoRedefine/>
    <w:qFormat/>
    <w:rPr>
      <w:rFonts w:ascii="Cambria" w:eastAsia="宋体" w:hAnsi="Cambria" w:cs="Times New Roman"/>
      <w:b/>
      <w:bCs/>
      <w:kern w:val="0"/>
      <w:sz w:val="28"/>
      <w:szCs w:val="28"/>
      <w14:ligatures w14:val="none"/>
    </w:rPr>
  </w:style>
  <w:style w:type="character" w:customStyle="1" w:styleId="51">
    <w:name w:val="标题 5 字符"/>
    <w:basedOn w:val="a0"/>
    <w:link w:val="50"/>
    <w:autoRedefine/>
    <w:qFormat/>
    <w:rPr>
      <w:rFonts w:ascii="Times New Roman" w:eastAsia="宋体" w:hAnsi="Times New Roman" w:cs="Times New Roman"/>
      <w:b/>
      <w:bCs/>
      <w:kern w:val="0"/>
      <w:sz w:val="28"/>
      <w:szCs w:val="28"/>
      <w14:ligatures w14:val="none"/>
    </w:rPr>
  </w:style>
  <w:style w:type="character" w:customStyle="1" w:styleId="60">
    <w:name w:val="标题 6 字符"/>
    <w:basedOn w:val="a0"/>
    <w:link w:val="6"/>
    <w:autoRedefine/>
    <w:semiHidden/>
    <w:qFormat/>
    <w:rPr>
      <w:rFonts w:ascii="Arial" w:eastAsia="黑体" w:hAnsi="Arial" w:cs="Times New Roman"/>
      <w:b/>
      <w:sz w:val="24"/>
      <w:szCs w:val="24"/>
      <w14:ligatures w14:val="none"/>
    </w:rPr>
  </w:style>
  <w:style w:type="character" w:customStyle="1" w:styleId="70">
    <w:name w:val="标题 7 字符"/>
    <w:basedOn w:val="a0"/>
    <w:link w:val="7"/>
    <w:autoRedefine/>
    <w:semiHidden/>
    <w:qFormat/>
    <w:rPr>
      <w:rFonts w:ascii="宋体" w:eastAsia="宋体" w:hAnsi="宋体" w:cs="Times New Roman"/>
      <w:b/>
      <w:sz w:val="24"/>
      <w:szCs w:val="24"/>
      <w14:ligatures w14:val="none"/>
    </w:rPr>
  </w:style>
  <w:style w:type="character" w:customStyle="1" w:styleId="80">
    <w:name w:val="标题 8 字符"/>
    <w:basedOn w:val="a0"/>
    <w:link w:val="8"/>
    <w:autoRedefine/>
    <w:semiHidden/>
    <w:qFormat/>
    <w:rPr>
      <w:rFonts w:ascii="Arial" w:eastAsia="黑体" w:hAnsi="Arial" w:cs="Times New Roman"/>
      <w:sz w:val="24"/>
      <w:szCs w:val="24"/>
      <w14:ligatures w14:val="none"/>
    </w:rPr>
  </w:style>
  <w:style w:type="character" w:customStyle="1" w:styleId="90">
    <w:name w:val="标题 9 字符"/>
    <w:basedOn w:val="a0"/>
    <w:link w:val="9"/>
    <w:autoRedefine/>
    <w:semiHidden/>
    <w:qFormat/>
    <w:rPr>
      <w:rFonts w:ascii="Arial" w:eastAsia="黑体" w:hAnsi="Arial" w:cs="Times New Roman"/>
      <w:szCs w:val="24"/>
      <w14:ligatures w14:val="none"/>
    </w:rPr>
  </w:style>
  <w:style w:type="character" w:customStyle="1" w:styleId="a8">
    <w:name w:val="正文文本 字符"/>
    <w:basedOn w:val="a0"/>
    <w:link w:val="a7"/>
    <w:autoRedefine/>
    <w:qFormat/>
    <w:rPr>
      <w:rFonts w:ascii="Times New Roman" w:eastAsia="宋体" w:hAnsi="Calibri" w:cs="Times New Roman"/>
      <w:szCs w:val="24"/>
      <w14:ligatures w14:val="none"/>
    </w:rPr>
  </w:style>
  <w:style w:type="character" w:customStyle="1" w:styleId="a6">
    <w:name w:val="批注文字 字符"/>
    <w:basedOn w:val="a0"/>
    <w:link w:val="a5"/>
    <w:autoRedefine/>
    <w:qFormat/>
    <w:rPr>
      <w:rFonts w:ascii="Calibri" w:eastAsia="宋体" w:hAnsi="Calibri" w:cs="Times New Roman"/>
      <w:sz w:val="18"/>
      <w:szCs w:val="20"/>
      <w14:ligatures w14:val="none"/>
    </w:rPr>
  </w:style>
  <w:style w:type="character" w:customStyle="1" w:styleId="aa">
    <w:name w:val="正文文本缩进 字符"/>
    <w:basedOn w:val="a0"/>
    <w:link w:val="a9"/>
    <w:autoRedefine/>
    <w:qFormat/>
    <w:rPr>
      <w:rFonts w:ascii="Calibri" w:eastAsia="宋体" w:hAnsi="Calibri" w:cs="Times New Roman"/>
      <w:sz w:val="32"/>
      <w:szCs w:val="20"/>
      <w14:ligatures w14:val="none"/>
    </w:rPr>
  </w:style>
  <w:style w:type="character" w:customStyle="1" w:styleId="ac">
    <w:name w:val="纯文本 字符"/>
    <w:basedOn w:val="a0"/>
    <w:link w:val="ab"/>
    <w:autoRedefine/>
    <w:qFormat/>
    <w:rPr>
      <w:rFonts w:ascii="宋体" w:eastAsia="宋体" w:hAnsi="Tms Rmn" w:cs="Times New Roman"/>
      <w:kern w:val="0"/>
      <w:szCs w:val="20"/>
      <w14:ligatures w14:val="none"/>
    </w:rPr>
  </w:style>
  <w:style w:type="character" w:customStyle="1" w:styleId="22">
    <w:name w:val="正文文本缩进 2 字符"/>
    <w:basedOn w:val="a0"/>
    <w:link w:val="21"/>
    <w:autoRedefine/>
    <w:qFormat/>
    <w:rPr>
      <w:rFonts w:ascii="宋体" w:eastAsia="宋体" w:hAnsi="Calibri" w:cs="Times New Roman"/>
      <w:kern w:val="0"/>
      <w:sz w:val="34"/>
      <w:szCs w:val="20"/>
      <w14:ligatures w14:val="none"/>
    </w:rPr>
  </w:style>
  <w:style w:type="character" w:customStyle="1" w:styleId="ae">
    <w:name w:val="批注框文本 字符"/>
    <w:basedOn w:val="a0"/>
    <w:link w:val="ad"/>
    <w:autoRedefine/>
    <w:semiHidden/>
    <w:qFormat/>
    <w:rPr>
      <w:rFonts w:ascii="宋体" w:eastAsia="宋体" w:hAnsi="Calibri" w:cs="Times New Roman"/>
      <w:kern w:val="0"/>
      <w:sz w:val="18"/>
      <w:szCs w:val="18"/>
      <w14:ligatures w14:val="none"/>
    </w:rPr>
  </w:style>
  <w:style w:type="character" w:customStyle="1" w:styleId="af0">
    <w:name w:val="页脚 字符"/>
    <w:basedOn w:val="a0"/>
    <w:link w:val="af"/>
    <w:autoRedefine/>
    <w:uiPriority w:val="99"/>
    <w:qFormat/>
    <w:rPr>
      <w:rFonts w:ascii="Calibri" w:eastAsia="宋体" w:hAnsi="Calibri" w:cs="Times New Roman"/>
      <w:sz w:val="18"/>
      <w:szCs w:val="20"/>
      <w14:ligatures w14:val="none"/>
    </w:rPr>
  </w:style>
  <w:style w:type="character" w:customStyle="1" w:styleId="af2">
    <w:name w:val="页眉 字符"/>
    <w:basedOn w:val="a0"/>
    <w:link w:val="af1"/>
    <w:autoRedefine/>
    <w:qFormat/>
    <w:rPr>
      <w:rFonts w:ascii="Calibri" w:eastAsia="宋体" w:hAnsi="Calibri" w:cs="Times New Roman"/>
      <w:sz w:val="18"/>
      <w:szCs w:val="20"/>
      <w14:ligatures w14:val="none"/>
    </w:rPr>
  </w:style>
  <w:style w:type="character" w:customStyle="1" w:styleId="af4">
    <w:name w:val="副标题 字符"/>
    <w:basedOn w:val="a0"/>
    <w:link w:val="af3"/>
    <w:autoRedefine/>
    <w:qFormat/>
    <w:rPr>
      <w:rFonts w:ascii="Arial" w:eastAsia="宋体" w:hAnsi="Arial" w:cs="Arial"/>
      <w:b/>
      <w:bCs/>
      <w:kern w:val="28"/>
      <w:sz w:val="32"/>
      <w:szCs w:val="32"/>
      <w14:ligatures w14:val="none"/>
    </w:rPr>
  </w:style>
  <w:style w:type="character" w:customStyle="1" w:styleId="32">
    <w:name w:val="正文文本缩进 3 字符"/>
    <w:basedOn w:val="a0"/>
    <w:link w:val="31"/>
    <w:autoRedefine/>
    <w:qFormat/>
    <w:rPr>
      <w:rFonts w:ascii="Calibri" w:eastAsia="宋体" w:hAnsi="Calibri" w:cs="Times New Roman"/>
      <w:sz w:val="16"/>
      <w:szCs w:val="16"/>
      <w14:ligatures w14:val="none"/>
    </w:rPr>
  </w:style>
  <w:style w:type="character" w:customStyle="1" w:styleId="af7">
    <w:name w:val="批注主题 字符"/>
    <w:basedOn w:val="a6"/>
    <w:link w:val="af6"/>
    <w:autoRedefine/>
    <w:qFormat/>
    <w:rPr>
      <w:rFonts w:ascii="Calibri" w:eastAsia="宋体" w:hAnsi="Calibri" w:cs="Times New Roman"/>
      <w:b/>
      <w:bCs/>
      <w:sz w:val="18"/>
      <w:szCs w:val="24"/>
      <w14:ligatures w14:val="none"/>
    </w:rPr>
  </w:style>
  <w:style w:type="character" w:customStyle="1" w:styleId="af9">
    <w:name w:val="正文文本首行缩进 字符"/>
    <w:basedOn w:val="a8"/>
    <w:link w:val="af8"/>
    <w:autoRedefine/>
    <w:qFormat/>
    <w:rPr>
      <w:rFonts w:ascii="宋体" w:eastAsia="宋体" w:hAnsi="Calibri" w:cs="Times New Roman"/>
      <w:szCs w:val="20"/>
      <w:lang w:val="zh-CN"/>
      <w14:ligatures w14:val="none"/>
    </w:rPr>
  </w:style>
  <w:style w:type="character" w:customStyle="1" w:styleId="24">
    <w:name w:val="正文文本首行缩进 2 字符"/>
    <w:basedOn w:val="aa"/>
    <w:link w:val="23"/>
    <w:autoRedefine/>
    <w:rPr>
      <w:rFonts w:ascii="宋体" w:eastAsia="仿宋_GB2312" w:hAnsi="宋体" w:cs="Times New Roman"/>
      <w:spacing w:val="15"/>
      <w:kern w:val="10"/>
      <w:sz w:val="24"/>
      <w:szCs w:val="24"/>
      <w14:ligatures w14:val="none"/>
    </w:rPr>
  </w:style>
  <w:style w:type="character" w:customStyle="1" w:styleId="GW-Char">
    <w:name w:val="GW-正文 Char"/>
    <w:link w:val="GW-"/>
    <w:autoRedefine/>
    <w:qFormat/>
    <w:rPr>
      <w:rFonts w:eastAsia="仿宋_GB2312"/>
      <w:sz w:val="24"/>
      <w:szCs w:val="24"/>
    </w:rPr>
  </w:style>
  <w:style w:type="paragraph" w:customStyle="1" w:styleId="GW-">
    <w:name w:val="GW-正文"/>
    <w:basedOn w:val="a"/>
    <w:link w:val="GW-Char"/>
    <w:autoRedefine/>
    <w:qFormat/>
    <w:pPr>
      <w:spacing w:line="360" w:lineRule="auto"/>
      <w:ind w:firstLineChars="200" w:firstLine="200"/>
    </w:pPr>
    <w:rPr>
      <w:rFonts w:asciiTheme="minorHAnsi" w:eastAsia="仿宋_GB2312" w:hAnsiTheme="minorHAnsi" w:cstheme="minorBidi"/>
      <w:kern w:val="2"/>
      <w:sz w:val="24"/>
      <w:szCs w:val="24"/>
      <w14:ligatures w14:val="standardContextual"/>
    </w:rPr>
  </w:style>
  <w:style w:type="character" w:customStyle="1" w:styleId="label">
    <w:name w:val="label"/>
    <w:autoRedefine/>
    <w:qFormat/>
    <w:rPr>
      <w:color w:val="555555"/>
    </w:rPr>
  </w:style>
  <w:style w:type="character" w:customStyle="1" w:styleId="aff1">
    <w:name w:val="（符号）邀请函中一、"/>
    <w:autoRedefine/>
    <w:qFormat/>
    <w:rPr>
      <w:rFonts w:ascii="黑体" w:eastAsia="黑体" w:hAnsi="黑体"/>
      <w:b/>
      <w:bCs/>
      <w:sz w:val="24"/>
    </w:rPr>
  </w:style>
  <w:style w:type="character" w:customStyle="1" w:styleId="aff2">
    <w:name w:val="彩色列表字符"/>
    <w:link w:val="11"/>
    <w:autoRedefine/>
    <w:qFormat/>
    <w:rPr>
      <w:rFonts w:eastAsia="宋体"/>
      <w:szCs w:val="24"/>
    </w:rPr>
  </w:style>
  <w:style w:type="paragraph" w:customStyle="1" w:styleId="11">
    <w:name w:val="彩色列表1"/>
    <w:basedOn w:val="a"/>
    <w:link w:val="aff2"/>
    <w:autoRedefine/>
    <w:qFormat/>
    <w:pPr>
      <w:ind w:firstLineChars="200" w:firstLine="420"/>
    </w:pPr>
    <w:rPr>
      <w:rFonts w:asciiTheme="minorHAnsi" w:hAnsiTheme="minorHAnsi" w:cstheme="minorBidi"/>
      <w:kern w:val="2"/>
      <w:sz w:val="21"/>
      <w:szCs w:val="24"/>
      <w14:ligatures w14:val="standardContextual"/>
    </w:rPr>
  </w:style>
  <w:style w:type="character" w:customStyle="1" w:styleId="Char1">
    <w:name w:val="批注文字 Char1"/>
    <w:autoRedefine/>
    <w:qFormat/>
    <w:rPr>
      <w:kern w:val="2"/>
      <w:sz w:val="18"/>
      <w:lang w:bidi="ar-SA"/>
    </w:rPr>
  </w:style>
  <w:style w:type="character" w:customStyle="1" w:styleId="a4">
    <w:name w:val="正文缩进 字符"/>
    <w:link w:val="a3"/>
    <w:autoRedefine/>
    <w:qFormat/>
    <w:rPr>
      <w:rFonts w:ascii="Calibri" w:eastAsia="宋体" w:hAnsi="Calibri" w:cs="Times New Roman"/>
      <w:szCs w:val="24"/>
      <w14:ligatures w14:val="none"/>
    </w:rPr>
  </w:style>
  <w:style w:type="character" w:customStyle="1" w:styleId="CharChar9">
    <w:name w:val="Char Char9"/>
    <w:autoRedefine/>
    <w:qFormat/>
    <w:rPr>
      <w:kern w:val="2"/>
      <w:sz w:val="21"/>
    </w:rPr>
  </w:style>
  <w:style w:type="character" w:customStyle="1" w:styleId="fontstrikethrough">
    <w:name w:val="fontstrikethrough"/>
    <w:autoRedefine/>
    <w:qFormat/>
    <w:rPr>
      <w:strike/>
    </w:rPr>
  </w:style>
  <w:style w:type="character" w:customStyle="1" w:styleId="modifier">
    <w:name w:val="modifier"/>
    <w:autoRedefine/>
    <w:qFormat/>
    <w:rPr>
      <w:color w:val="FF0000"/>
    </w:rPr>
  </w:style>
  <w:style w:type="character" w:customStyle="1" w:styleId="fontborder">
    <w:name w:val="fontborder"/>
    <w:autoRedefine/>
    <w:qFormat/>
    <w:rPr>
      <w:bdr w:val="single" w:sz="6" w:space="0" w:color="000000"/>
    </w:rPr>
  </w:style>
  <w:style w:type="paragraph" w:customStyle="1" w:styleId="Style2">
    <w:name w:val="_Style 2"/>
    <w:basedOn w:val="a"/>
    <w:autoRedefine/>
    <w:uiPriority w:val="34"/>
    <w:qFormat/>
    <w:pPr>
      <w:ind w:firstLineChars="200" w:firstLine="420"/>
    </w:pPr>
    <w:rPr>
      <w:sz w:val="18"/>
      <w:szCs w:val="18"/>
    </w:rPr>
  </w:style>
  <w:style w:type="paragraph" w:customStyle="1" w:styleId="25">
    <w:name w:val="无间隔2"/>
    <w:autoRedefine/>
    <w:uiPriority w:val="99"/>
    <w:qFormat/>
    <w:pPr>
      <w:widowControl w:val="0"/>
      <w:jc w:val="both"/>
    </w:pPr>
    <w:rPr>
      <w:rFonts w:ascii="Calibri" w:eastAsia="宋体" w:hAnsi="Calibri" w:cs="Times New Roman"/>
      <w:kern w:val="2"/>
      <w:sz w:val="21"/>
      <w:szCs w:val="22"/>
    </w:rPr>
  </w:style>
  <w:style w:type="paragraph" w:customStyle="1" w:styleId="12">
    <w:name w:val="列出段落1"/>
    <w:basedOn w:val="a"/>
    <w:autoRedefine/>
    <w:uiPriority w:val="34"/>
    <w:qFormat/>
    <w:pPr>
      <w:ind w:firstLineChars="200" w:firstLine="420"/>
    </w:pPr>
  </w:style>
  <w:style w:type="paragraph" w:customStyle="1" w:styleId="33">
    <w:name w:val="正文3"/>
    <w:autoRedefine/>
    <w:qFormat/>
    <w:pPr>
      <w:widowControl w:val="0"/>
      <w:adjustRightInd w:val="0"/>
      <w:spacing w:line="312" w:lineRule="atLeast"/>
      <w:jc w:val="both"/>
      <w:textAlignment w:val="baseline"/>
    </w:pPr>
    <w:rPr>
      <w:rFonts w:ascii="宋体" w:eastAsia="宋体" w:hAnsi="Calibri" w:cs="Times New Roman"/>
      <w:sz w:val="34"/>
      <w:szCs w:val="22"/>
    </w:rPr>
  </w:style>
  <w:style w:type="paragraph" w:customStyle="1" w:styleId="34">
    <w:name w:val="标题3"/>
    <w:basedOn w:val="2"/>
    <w:autoRedefine/>
    <w:qFormat/>
    <w:pPr>
      <w:jc w:val="left"/>
    </w:pPr>
    <w:rPr>
      <w:sz w:val="30"/>
    </w:rPr>
  </w:style>
  <w:style w:type="paragraph" w:customStyle="1" w:styleId="aff3">
    <w:name w:val="样式"/>
    <w:autoRedefine/>
    <w:qFormat/>
    <w:pPr>
      <w:widowControl w:val="0"/>
      <w:autoSpaceDE w:val="0"/>
      <w:autoSpaceDN w:val="0"/>
      <w:adjustRightInd w:val="0"/>
    </w:pPr>
    <w:rPr>
      <w:rFonts w:ascii="宋体" w:eastAsia="宋体" w:hAnsi="宋体" w:cs="宋体"/>
      <w:sz w:val="24"/>
      <w:szCs w:val="24"/>
    </w:rPr>
  </w:style>
  <w:style w:type="paragraph" w:customStyle="1" w:styleId="26">
    <w:name w:val="样式 首行缩进:  2 字符"/>
    <w:basedOn w:val="a"/>
    <w:autoRedefine/>
    <w:qFormat/>
    <w:pPr>
      <w:spacing w:line="400" w:lineRule="exact"/>
      <w:ind w:firstLineChars="200" w:firstLine="200"/>
    </w:pPr>
    <w:rPr>
      <w:rFonts w:cs="宋体"/>
      <w:sz w:val="24"/>
    </w:rPr>
  </w:style>
  <w:style w:type="paragraph" w:customStyle="1" w:styleId="13">
    <w:name w:val="无间隔1"/>
    <w:autoRedefine/>
    <w:uiPriority w:val="99"/>
    <w:qFormat/>
    <w:pPr>
      <w:widowControl w:val="0"/>
      <w:jc w:val="both"/>
    </w:pPr>
    <w:rPr>
      <w:rFonts w:ascii="Calibri" w:eastAsia="宋体" w:hAnsi="Calibri" w:cs="Times New Roman"/>
      <w:kern w:val="2"/>
      <w:sz w:val="21"/>
      <w:szCs w:val="22"/>
    </w:rPr>
  </w:style>
  <w:style w:type="paragraph" w:customStyle="1" w:styleId="27">
    <w:name w:val="正文2"/>
    <w:basedOn w:val="a"/>
    <w:next w:val="a"/>
    <w:autoRedefine/>
    <w:uiPriority w:val="99"/>
    <w:qFormat/>
    <w:rPr>
      <w:rFonts w:ascii="仿宋_GB2312" w:eastAsia="仿宋_GB2312"/>
      <w:sz w:val="32"/>
    </w:rPr>
  </w:style>
  <w:style w:type="paragraph" w:customStyle="1" w:styleId="CharCharCharCharCharCharCharCharCharCharCharCharCharChar1CharCharCharChar">
    <w:name w:val="Char Char Char Char Char Char Char Char Char Char Char Char Char Char1 Char Char Char Char"/>
    <w:basedOn w:val="a"/>
    <w:autoRedefine/>
    <w:qFormat/>
    <w:rPr>
      <w:szCs w:val="21"/>
    </w:rPr>
  </w:style>
  <w:style w:type="paragraph" w:customStyle="1" w:styleId="5">
    <w:name w:val="标题 5（有编号）（绿盟科技）"/>
    <w:basedOn w:val="a"/>
    <w:next w:val="aff4"/>
    <w:autoRedefine/>
    <w:qFormat/>
    <w:pPr>
      <w:keepNext/>
      <w:keepLines/>
      <w:numPr>
        <w:ilvl w:val="4"/>
        <w:numId w:val="2"/>
      </w:numPr>
      <w:tabs>
        <w:tab w:val="left" w:pos="0"/>
      </w:tabs>
      <w:spacing w:before="280" w:after="156" w:line="377" w:lineRule="auto"/>
      <w:jc w:val="left"/>
      <w:outlineLvl w:val="4"/>
    </w:pPr>
    <w:rPr>
      <w:rFonts w:ascii="Arial" w:eastAsia="黑体" w:hAnsi="Arial"/>
      <w:b/>
      <w:sz w:val="24"/>
      <w:szCs w:val="28"/>
    </w:rPr>
  </w:style>
  <w:style w:type="paragraph" w:customStyle="1" w:styleId="aff4">
    <w:name w:val="正文（绿盟科技）"/>
    <w:autoRedefine/>
    <w:uiPriority w:val="99"/>
    <w:qFormat/>
    <w:pPr>
      <w:spacing w:line="300" w:lineRule="auto"/>
    </w:pPr>
    <w:rPr>
      <w:rFonts w:ascii="Arial" w:eastAsia="宋体" w:hAnsi="Arial" w:cs="Times New Roman"/>
      <w:sz w:val="21"/>
      <w:szCs w:val="21"/>
    </w:rPr>
  </w:style>
  <w:style w:type="paragraph" w:customStyle="1" w:styleId="Normal42">
    <w:name w:val="Normal_42"/>
    <w:autoRedefine/>
    <w:qFormat/>
    <w:pPr>
      <w:spacing w:before="120" w:after="240"/>
      <w:jc w:val="both"/>
    </w:pPr>
    <w:rPr>
      <w:rFonts w:ascii="Calibri" w:eastAsia="Calibri" w:hAnsi="Calibri" w:cs="Times New Roman"/>
      <w:sz w:val="22"/>
      <w:szCs w:val="22"/>
      <w:lang w:val="ru-RU" w:eastAsia="en-US"/>
    </w:rPr>
  </w:style>
  <w:style w:type="paragraph" w:customStyle="1" w:styleId="Web">
    <w:name w:val="普通 (Web)"/>
    <w:basedOn w:val="a"/>
    <w:autoRedefine/>
    <w:uiPriority w:val="99"/>
    <w:qFormat/>
    <w:pPr>
      <w:spacing w:before="100" w:beforeAutospacing="1" w:after="100" w:afterAutospacing="1"/>
      <w:jc w:val="left"/>
    </w:pPr>
    <w:rPr>
      <w:rFonts w:hAnsi="宋体"/>
      <w:sz w:val="24"/>
      <w:szCs w:val="24"/>
    </w:rPr>
  </w:style>
  <w:style w:type="paragraph" w:customStyle="1" w:styleId="Aff5">
    <w:name w:val="正文 A"/>
    <w:autoRedefine/>
    <w:qFormat/>
    <w:pPr>
      <w:widowControl w:val="0"/>
      <w:jc w:val="both"/>
    </w:pPr>
    <w:rPr>
      <w:rFonts w:ascii="Arial Unicode MS" w:eastAsia="Arial Unicode MS" w:hAnsi="Arial Unicode MS" w:cs="Arial Unicode MS" w:hint="eastAsia"/>
      <w:color w:val="000000"/>
      <w:kern w:val="2"/>
      <w:sz w:val="21"/>
      <w:szCs w:val="21"/>
      <w:u w:color="000000"/>
    </w:rPr>
  </w:style>
  <w:style w:type="paragraph" w:customStyle="1" w:styleId="aff6">
    <w:name w:val="表格"/>
    <w:basedOn w:val="a"/>
    <w:autoRedefine/>
    <w:qFormat/>
    <w:pPr>
      <w:spacing w:line="400" w:lineRule="exact"/>
    </w:pPr>
    <w:rPr>
      <w:sz w:val="24"/>
    </w:rPr>
  </w:style>
  <w:style w:type="paragraph" w:customStyle="1" w:styleId="aff7">
    <w:name w:val="正文首行缩进两字符"/>
    <w:basedOn w:val="14"/>
    <w:autoRedefine/>
    <w:qFormat/>
    <w:pPr>
      <w:spacing w:line="360" w:lineRule="auto"/>
      <w:ind w:firstLineChars="200" w:firstLine="200"/>
    </w:pPr>
  </w:style>
  <w:style w:type="paragraph" w:customStyle="1" w:styleId="14">
    <w:name w:val="正文1"/>
    <w:next w:val="15"/>
    <w:autoRedefine/>
    <w:qFormat/>
    <w:pPr>
      <w:widowControl w:val="0"/>
      <w:adjustRightInd w:val="0"/>
      <w:spacing w:line="312" w:lineRule="atLeast"/>
      <w:jc w:val="both"/>
      <w:textAlignment w:val="baseline"/>
    </w:pPr>
    <w:rPr>
      <w:rFonts w:ascii="宋体" w:eastAsia="宋体" w:hAnsi="Calibri" w:cs="Times New Roman"/>
      <w:sz w:val="34"/>
    </w:rPr>
  </w:style>
  <w:style w:type="paragraph" w:customStyle="1" w:styleId="15">
    <w:name w:val="正文文本1"/>
    <w:basedOn w:val="14"/>
    <w:autoRedefine/>
    <w:uiPriority w:val="99"/>
    <w:qFormat/>
    <w:pPr>
      <w:widowControl/>
      <w:spacing w:afterLines="50"/>
      <w:jc w:val="left"/>
    </w:pPr>
    <w:rPr>
      <w:sz w:val="24"/>
    </w:rPr>
  </w:style>
  <w:style w:type="paragraph" w:customStyle="1" w:styleId="110">
    <w:name w:val="列出段落11"/>
    <w:basedOn w:val="a"/>
    <w:autoRedefine/>
    <w:uiPriority w:val="34"/>
    <w:qFormat/>
    <w:pPr>
      <w:ind w:firstLineChars="200" w:firstLine="420"/>
    </w:pPr>
  </w:style>
  <w:style w:type="paragraph" w:customStyle="1" w:styleId="Default">
    <w:name w:val="Default"/>
    <w:next w:val="a"/>
    <w:autoRedefine/>
    <w:qFormat/>
    <w:pPr>
      <w:widowControl w:val="0"/>
      <w:autoSpaceDE w:val="0"/>
      <w:autoSpaceDN w:val="0"/>
      <w:adjustRightInd w:val="0"/>
    </w:pPr>
    <w:rPr>
      <w:rFonts w:ascii="宋体" w:eastAsia="宋体" w:hAnsi="Calibri" w:cs="宋体"/>
      <w:color w:val="000000"/>
      <w:sz w:val="24"/>
      <w:szCs w:val="24"/>
    </w:rPr>
  </w:style>
  <w:style w:type="paragraph" w:customStyle="1" w:styleId="TableParagraph">
    <w:name w:val="Table Paragraph"/>
    <w:basedOn w:val="a"/>
    <w:autoRedefine/>
    <w:uiPriority w:val="1"/>
    <w:qFormat/>
    <w:rPr>
      <w:rFonts w:hAnsi="宋体" w:cs="宋体"/>
      <w:kern w:val="2"/>
      <w:sz w:val="21"/>
      <w:szCs w:val="24"/>
      <w:lang w:val="zh-CN" w:bidi="zh-CN"/>
    </w:rPr>
  </w:style>
  <w:style w:type="paragraph" w:customStyle="1" w:styleId="111">
    <w:name w:val="无间隔11"/>
    <w:autoRedefine/>
    <w:uiPriority w:val="99"/>
    <w:qFormat/>
    <w:pPr>
      <w:widowControl w:val="0"/>
      <w:jc w:val="both"/>
    </w:pPr>
    <w:rPr>
      <w:rFonts w:ascii="Calibri" w:eastAsia="Calibri" w:hAnsi="Calibri" w:cs="Calibri"/>
      <w:color w:val="000000"/>
      <w:kern w:val="2"/>
      <w:sz w:val="21"/>
      <w:szCs w:val="21"/>
      <w:u w:color="000000"/>
    </w:rPr>
  </w:style>
  <w:style w:type="paragraph" w:customStyle="1" w:styleId="WPSOffice1">
    <w:name w:val="WPSOffice手动目录 1"/>
    <w:autoRedefine/>
    <w:qFormat/>
    <w:rPr>
      <w:rFonts w:ascii="Calibri" w:eastAsia="宋体" w:hAnsi="Calibri" w:cs="Times New Roman"/>
    </w:rPr>
  </w:style>
  <w:style w:type="paragraph" w:customStyle="1" w:styleId="aff8">
    <w:name w:val="_正文段落"/>
    <w:basedOn w:val="a"/>
    <w:autoRedefine/>
    <w:qFormat/>
    <w:pPr>
      <w:spacing w:beforeLines="15" w:line="360" w:lineRule="auto"/>
      <w:ind w:firstLineChars="200" w:firstLine="200"/>
    </w:pPr>
    <w:rPr>
      <w:rFonts w:eastAsia="仿宋_GB2312"/>
      <w:sz w:val="28"/>
    </w:rPr>
  </w:style>
  <w:style w:type="character" w:customStyle="1" w:styleId="font11">
    <w:name w:val="font11"/>
    <w:basedOn w:val="a0"/>
    <w:autoRedefine/>
    <w:qFormat/>
    <w:rPr>
      <w:rFonts w:ascii="宋体" w:eastAsia="宋体" w:hAnsi="宋体" w:cs="宋体" w:hint="eastAsia"/>
      <w:color w:val="000000"/>
      <w:sz w:val="22"/>
      <w:szCs w:val="22"/>
      <w:u w:val="none"/>
    </w:rPr>
  </w:style>
  <w:style w:type="paragraph" w:styleId="aff9">
    <w:name w:val="List Paragraph"/>
    <w:basedOn w:val="a"/>
    <w:autoRedefine/>
    <w:qFormat/>
    <w:pPr>
      <w:ind w:firstLineChars="200" w:firstLine="420"/>
    </w:pPr>
    <w:rPr>
      <w:rFonts w:ascii="Times New Roman"/>
      <w:kern w:val="2"/>
      <w:sz w:val="21"/>
      <w:szCs w:val="24"/>
    </w:rPr>
  </w:style>
  <w:style w:type="table" w:customStyle="1" w:styleId="16">
    <w:name w:val="网格型1"/>
    <w:basedOn w:val="a1"/>
    <w:autoRedefine/>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
    <w:name w:val="05、“(一)”正文三级标题"/>
    <w:basedOn w:val="a"/>
    <w:autoRedefine/>
    <w:qFormat/>
    <w:pPr>
      <w:numPr>
        <w:ilvl w:val="1"/>
        <w:numId w:val="1"/>
      </w:numPr>
      <w:tabs>
        <w:tab w:val="left" w:pos="0"/>
      </w:tabs>
      <w:wordWrap w:val="0"/>
      <w:topLinePunct/>
      <w:adjustRightInd w:val="0"/>
      <w:snapToGrid w:val="0"/>
      <w:spacing w:line="440" w:lineRule="exact"/>
      <w:ind w:left="794" w:firstLineChars="200" w:firstLine="803"/>
      <w:jc w:val="left"/>
    </w:pPr>
    <w:rPr>
      <w:rFonts w:hAnsi="宋体"/>
      <w:kern w:val="2"/>
      <w:sz w:val="24"/>
      <w:szCs w:val="24"/>
    </w:rPr>
  </w:style>
  <w:style w:type="paragraph" w:customStyle="1" w:styleId="061">
    <w:name w:val="06、“1.”正文四级标题"/>
    <w:basedOn w:val="a"/>
    <w:autoRedefine/>
    <w:qFormat/>
    <w:pPr>
      <w:numPr>
        <w:ilvl w:val="2"/>
        <w:numId w:val="1"/>
      </w:numPr>
      <w:tabs>
        <w:tab w:val="left" w:pos="0"/>
        <w:tab w:val="left" w:pos="360"/>
      </w:tabs>
      <w:wordWrap w:val="0"/>
      <w:topLinePunct/>
      <w:adjustRightInd w:val="0"/>
      <w:snapToGrid w:val="0"/>
      <w:spacing w:line="440" w:lineRule="exact"/>
      <w:ind w:firstLineChars="200" w:firstLine="803"/>
      <w:jc w:val="left"/>
    </w:pPr>
    <w:rPr>
      <w:rFonts w:hAnsi="宋体"/>
      <w:snapToGrid w:val="0"/>
      <w:kern w:val="2"/>
      <w:sz w:val="24"/>
      <w:szCs w:val="24"/>
    </w:rPr>
  </w:style>
  <w:style w:type="paragraph" w:customStyle="1" w:styleId="0711">
    <w:name w:val="07、“1.1”正文五级标题"/>
    <w:basedOn w:val="a"/>
    <w:autoRedefine/>
    <w:qFormat/>
    <w:pPr>
      <w:numPr>
        <w:ilvl w:val="3"/>
        <w:numId w:val="1"/>
      </w:numPr>
      <w:tabs>
        <w:tab w:val="left" w:pos="0"/>
        <w:tab w:val="left" w:pos="360"/>
      </w:tabs>
      <w:adjustRightInd w:val="0"/>
      <w:snapToGrid w:val="0"/>
      <w:spacing w:line="440" w:lineRule="exact"/>
      <w:ind w:firstLineChars="200" w:firstLine="803"/>
      <w:jc w:val="left"/>
    </w:pPr>
    <w:rPr>
      <w:rFonts w:hAnsi="宋体"/>
      <w:kern w:val="2"/>
      <w:sz w:val="24"/>
      <w:szCs w:val="24"/>
    </w:rPr>
  </w:style>
  <w:style w:type="paragraph" w:customStyle="1" w:styleId="081">
    <w:name w:val="08、“(1)”正文六级标题"/>
    <w:basedOn w:val="a"/>
    <w:autoRedefine/>
    <w:qFormat/>
    <w:pPr>
      <w:numPr>
        <w:ilvl w:val="4"/>
        <w:numId w:val="1"/>
      </w:numPr>
      <w:tabs>
        <w:tab w:val="left" w:pos="0"/>
      </w:tabs>
      <w:adjustRightInd w:val="0"/>
      <w:snapToGrid w:val="0"/>
      <w:spacing w:line="440" w:lineRule="exact"/>
      <w:ind w:firstLineChars="200" w:firstLine="803"/>
      <w:jc w:val="left"/>
    </w:pPr>
    <w:rPr>
      <w:rFonts w:hAnsi="宋体"/>
      <w:snapToGrid w:val="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1018</TotalTime>
  <Pages>6</Pages>
  <Words>512</Words>
  <Characters>2920</Characters>
  <Application>Microsoft Office Word</Application>
  <DocSecurity>0</DocSecurity>
  <Lines>24</Lines>
  <Paragraphs>6</Paragraphs>
  <ScaleCrop>false</ScaleCrop>
  <Company/>
  <LinksUpToDate>false</LinksUpToDate>
  <CharactersWithSpaces>3426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Jerry Huo</dc:creator>
  <cp:lastModifiedBy>User</cp:lastModifiedBy>
  <cp:revision>35</cp:revision>
  <cp:lastPrinted>2025-07-01T00:40:00Z</cp:lastPrinted>
  <dcterms:created xsi:type="dcterms:W3CDTF">2024-03-19T06:45:00Z</dcterms:created>
  <dcterms:modified xsi:type="dcterms:W3CDTF">2025-07-14T03:08:00Z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CAB1604726484C3EBEEA8CFA37E1E0DB_12</vt:lpwstr>
  </property>
  <property fmtid="{D5CDD505-2E9C-101B-9397-08002B2CF9AE}" pid="4" name="KSOTemplateDocerSaveRecord">
    <vt:lpwstr>eyJoZGlkIjoiNzc3YThmNzIwNTIyMWZlMTY4NmM5YWQ2Yjk1MzJiM2UiLCJ1c2VySWQiOiI1NzU4ODU2ODgifQ==</vt:lpwstr>
  </property>
</Properties>
</file>