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F8FFBA">
      <w:pPr>
        <w:pStyle w:val="2"/>
        <w:keepNext/>
        <w:keepLines/>
        <w:pageBreakBefore w:val="0"/>
        <w:widowControl/>
        <w:kinsoku/>
        <w:wordWrap/>
        <w:overflowPunct/>
        <w:topLinePunct w:val="0"/>
        <w:autoSpaceDE/>
        <w:autoSpaceDN/>
        <w:bidi w:val="0"/>
        <w:adjustRightInd/>
        <w:snapToGrid/>
        <w:spacing w:before="0" w:after="0"/>
        <w:jc w:val="center"/>
        <w:textAlignment w:val="auto"/>
        <w:rPr>
          <w:rFonts w:hint="eastAsia" w:ascii="方正仿宋_GB2312" w:hAnsi="方正仿宋_GB2312" w:eastAsia="方正仿宋_GB2312" w:cs="方正仿宋_GB2312"/>
          <w:color w:val="auto"/>
        </w:rPr>
      </w:pPr>
      <w:bookmarkStart w:id="0" w:name="精准医学中心质谱检测项目性能验证合作厂家招募公告"/>
      <w:r>
        <w:rPr>
          <w:rFonts w:hint="eastAsia" w:ascii="方正仿宋_GB2312" w:hAnsi="方正仿宋_GB2312" w:eastAsia="方正仿宋_GB2312" w:cs="方正仿宋_GB2312"/>
          <w:color w:val="auto"/>
        </w:rPr>
        <w:t>精准医学中心质谱检测项目性能验证合作厂家</w:t>
      </w:r>
    </w:p>
    <w:p w14:paraId="54B2798F">
      <w:pPr>
        <w:pStyle w:val="2"/>
        <w:keepNext/>
        <w:keepLines/>
        <w:pageBreakBefore w:val="0"/>
        <w:widowControl/>
        <w:kinsoku/>
        <w:wordWrap/>
        <w:overflowPunct/>
        <w:topLinePunct w:val="0"/>
        <w:autoSpaceDE/>
        <w:autoSpaceDN/>
        <w:bidi w:val="0"/>
        <w:adjustRightInd/>
        <w:snapToGrid/>
        <w:spacing w:before="0" w:after="0"/>
        <w:jc w:val="center"/>
        <w:textAlignment w:val="auto"/>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招募公告</w:t>
      </w:r>
    </w:p>
    <w:p w14:paraId="76EC38C0">
      <w:pPr>
        <w:pStyle w:val="23"/>
      </w:pPr>
      <w:r>
        <w:rPr>
          <w:rFonts w:hint="eastAsia"/>
        </w:rPr>
        <w:t>为进一步完善我院精准医学中心临床质谱检测项目体系，充分发挥现有质谱平台效能，规范开展相关检测项目的方法学建立及性能验证工作，确保检测结果准确、可靠并满足临床应用需求，现面向具备相关产品、技术及服务能力的厂家公开招募合作单位，在我中心现有质谱仪器平台上开展</w:t>
      </w:r>
      <w:r>
        <w:rPr>
          <w:rFonts w:hint="eastAsia"/>
          <w:b/>
          <w:bCs/>
        </w:rPr>
        <w:t>脂溶性氨基酸、微量元素及同型半胱氨酸</w:t>
      </w:r>
      <w:r>
        <w:rPr>
          <w:rFonts w:hint="eastAsia"/>
        </w:rPr>
        <w:t>项目的性能验证工作。具体事项公告如下。</w:t>
      </w:r>
    </w:p>
    <w:p w14:paraId="778534B6">
      <w:pPr>
        <w:pStyle w:val="4"/>
      </w:pPr>
      <w:bookmarkStart w:id="1" w:name="一项目基本情况"/>
      <w:r>
        <w:rPr>
          <w:rFonts w:hint="eastAsia"/>
        </w:rPr>
        <w:t>一、项目基本情况</w:t>
      </w:r>
    </w:p>
    <w:p w14:paraId="587AA45E">
      <w:pPr>
        <w:pStyle w:val="5"/>
      </w:pPr>
      <w:bookmarkStart w:id="2" w:name="一现有仪器平台"/>
      <w:r>
        <w:rPr>
          <w:rFonts w:hint="eastAsia"/>
        </w:rPr>
        <w:t>（一）现有仪器平台</w:t>
      </w:r>
    </w:p>
    <w:p w14:paraId="6477A177">
      <w:pPr>
        <w:pStyle w:val="23"/>
      </w:pPr>
      <w:r>
        <w:rPr>
          <w:rFonts w:hint="eastAsia"/>
        </w:rPr>
        <w:t>我中心现有可用于本次性能验证的主要仪器包括：</w:t>
      </w:r>
    </w:p>
    <w:p w14:paraId="03C3ED8C">
      <w:pPr>
        <w:pStyle w:val="24"/>
        <w:numPr>
          <w:ilvl w:val="0"/>
          <w:numId w:val="1"/>
        </w:numPr>
      </w:pPr>
      <w:r>
        <w:rPr>
          <w:rFonts w:hint="eastAsia"/>
          <w:b/>
          <w:bCs/>
        </w:rPr>
        <w:t>RZ500质谱仪</w:t>
      </w:r>
    </w:p>
    <w:p w14:paraId="64231DE8">
      <w:pPr>
        <w:pStyle w:val="24"/>
        <w:numPr>
          <w:ilvl w:val="0"/>
          <w:numId w:val="1"/>
        </w:numPr>
      </w:pPr>
      <w:r>
        <w:rPr>
          <w:b/>
          <w:bCs/>
        </w:rPr>
        <w:t xml:space="preserve">AB SCIEX </w:t>
      </w:r>
      <w:r>
        <w:rPr>
          <w:rFonts w:hint="eastAsia"/>
          <w:b/>
          <w:bCs/>
        </w:rPr>
        <w:t>4500液相色谱-串联质谱仪（AB4500）</w:t>
      </w:r>
    </w:p>
    <w:p w14:paraId="14E4CFBA">
      <w:pPr>
        <w:pStyle w:val="24"/>
        <w:numPr>
          <w:ilvl w:val="0"/>
          <w:numId w:val="1"/>
        </w:numPr>
      </w:pPr>
      <w:r>
        <w:rPr>
          <w:rFonts w:hint="eastAsia"/>
          <w:b/>
          <w:bCs/>
        </w:rPr>
        <w:t>ICP-MS电感耦合等离子体质谱仪</w:t>
      </w:r>
    </w:p>
    <w:p w14:paraId="0019600C">
      <w:pPr>
        <w:pStyle w:val="23"/>
      </w:pPr>
      <w:r>
        <w:rPr>
          <w:rFonts w:hint="eastAsia"/>
        </w:rPr>
        <w:t>本次招募以充分利用中心现有设备为原则，原则上</w:t>
      </w:r>
      <w:r>
        <w:rPr>
          <w:rFonts w:hint="eastAsia"/>
          <w:b/>
          <w:bCs/>
        </w:rPr>
        <w:t>不接受以新增或更换主体质谱仪器作为项目实施前提的合作方案</w:t>
      </w:r>
      <w:r>
        <w:t>。</w:t>
      </w:r>
    </w:p>
    <w:bookmarkEnd w:id="2"/>
    <w:p w14:paraId="24727BD9">
      <w:pPr>
        <w:pStyle w:val="5"/>
      </w:pPr>
      <w:bookmarkStart w:id="3" w:name="二拟开展验证项目及仪器要求"/>
      <w:r>
        <w:rPr>
          <w:rFonts w:hint="eastAsia"/>
        </w:rPr>
        <w:t>（二）拟开展验证项目及仪器要求</w:t>
      </w:r>
    </w:p>
    <w:tbl>
      <w:tblPr>
        <w:tblStyle w:val="41"/>
        <w:tblW w:w="5000" w:type="pct"/>
        <w:tblInd w:w="0" w:type="dxa"/>
        <w:tblLayout w:type="fixed"/>
        <w:tblCellMar>
          <w:top w:w="0" w:type="dxa"/>
          <w:left w:w="108" w:type="dxa"/>
          <w:bottom w:w="0" w:type="dxa"/>
          <w:right w:w="108" w:type="dxa"/>
        </w:tblCellMar>
      </w:tblPr>
      <w:tblGrid>
        <w:gridCol w:w="2214"/>
        <w:gridCol w:w="2214"/>
        <w:gridCol w:w="2214"/>
        <w:gridCol w:w="2214"/>
      </w:tblGrid>
      <w:tr w14:paraId="713CE66F">
        <w:tblPrEx>
          <w:tblCellMar>
            <w:top w:w="0" w:type="dxa"/>
            <w:left w:w="108" w:type="dxa"/>
            <w:bottom w:w="0" w:type="dxa"/>
            <w:right w:w="108" w:type="dxa"/>
          </w:tblCellMar>
        </w:tblPrEx>
        <w:trPr>
          <w:tblHeader/>
        </w:trPr>
        <w:tc>
          <w:p w14:paraId="05F1BDFD">
            <w:pPr>
              <w:pStyle w:val="24"/>
            </w:pPr>
            <w:r>
              <w:rPr>
                <w:rFonts w:hint="eastAsia"/>
              </w:rPr>
              <w:t>序号</w:t>
            </w:r>
          </w:p>
        </w:tc>
        <w:tc>
          <w:p w14:paraId="21533173">
            <w:pPr>
              <w:pStyle w:val="24"/>
            </w:pPr>
            <w:r>
              <w:rPr>
                <w:rFonts w:hint="eastAsia"/>
              </w:rPr>
              <w:t>验证项目</w:t>
            </w:r>
          </w:p>
        </w:tc>
        <w:tc>
          <w:p w14:paraId="1873CD7D">
            <w:pPr>
              <w:pStyle w:val="24"/>
            </w:pPr>
            <w:r>
              <w:rPr>
                <w:rFonts w:hint="eastAsia"/>
              </w:rPr>
              <w:t>指定/可选仪器平台</w:t>
            </w:r>
          </w:p>
        </w:tc>
        <w:tc>
          <w:p w14:paraId="2FABC7EE">
            <w:pPr>
              <w:pStyle w:val="24"/>
            </w:pPr>
            <w:r>
              <w:rPr>
                <w:rFonts w:hint="eastAsia"/>
              </w:rPr>
              <w:t>备注</w:t>
            </w:r>
          </w:p>
        </w:tc>
      </w:tr>
      <w:tr w14:paraId="7A94C18B">
        <w:tblPrEx>
          <w:tblCellMar>
            <w:top w:w="0" w:type="dxa"/>
            <w:left w:w="108" w:type="dxa"/>
            <w:bottom w:w="0" w:type="dxa"/>
            <w:right w:w="108" w:type="dxa"/>
          </w:tblCellMar>
        </w:tblPrEx>
        <w:tc>
          <w:p w14:paraId="7D82C725">
            <w:pPr>
              <w:pStyle w:val="24"/>
            </w:pPr>
            <w:r>
              <w:t>1</w:t>
            </w:r>
          </w:p>
        </w:tc>
        <w:tc>
          <w:p w14:paraId="16885509">
            <w:pPr>
              <w:pStyle w:val="24"/>
            </w:pPr>
            <w:r>
              <w:rPr>
                <w:rFonts w:hint="eastAsia"/>
              </w:rPr>
              <w:t>脂溶性氨基酸检测项目</w:t>
            </w:r>
          </w:p>
        </w:tc>
        <w:tc>
          <w:p w14:paraId="7DBFFF0F">
            <w:pPr>
              <w:pStyle w:val="24"/>
            </w:pPr>
            <w:r>
              <w:rPr>
                <w:rFonts w:hint="eastAsia"/>
              </w:rPr>
              <w:t>RZ500或AB4500</w:t>
            </w:r>
          </w:p>
        </w:tc>
        <w:tc>
          <w:p w14:paraId="5B935625">
            <w:pPr>
              <w:pStyle w:val="24"/>
            </w:pPr>
            <w:r>
              <w:rPr>
                <w:rFonts w:hint="eastAsia"/>
              </w:rPr>
              <w:t>厂家可根据自身试剂、方法及技术特点任选其中一台仪器开展验证</w:t>
            </w:r>
          </w:p>
        </w:tc>
      </w:tr>
      <w:tr w14:paraId="495225D0">
        <w:tblPrEx>
          <w:tblCellMar>
            <w:top w:w="0" w:type="dxa"/>
            <w:left w:w="108" w:type="dxa"/>
            <w:bottom w:w="0" w:type="dxa"/>
            <w:right w:w="108" w:type="dxa"/>
          </w:tblCellMar>
        </w:tblPrEx>
        <w:tc>
          <w:p w14:paraId="2E9B4173">
            <w:pPr>
              <w:pStyle w:val="24"/>
            </w:pPr>
            <w:r>
              <w:t>2</w:t>
            </w:r>
          </w:p>
        </w:tc>
        <w:tc>
          <w:p w14:paraId="74335E08">
            <w:pPr>
              <w:pStyle w:val="24"/>
            </w:pPr>
            <w:r>
              <w:rPr>
                <w:rFonts w:hint="eastAsia"/>
              </w:rPr>
              <w:t>微量元素检测项目</w:t>
            </w:r>
          </w:p>
        </w:tc>
        <w:tc>
          <w:p w14:paraId="6AD9A5DB">
            <w:pPr>
              <w:pStyle w:val="24"/>
            </w:pPr>
            <w:r>
              <w:t>ICP-MS</w:t>
            </w:r>
          </w:p>
        </w:tc>
        <w:tc>
          <w:p w14:paraId="3AB2F875">
            <w:pPr>
              <w:pStyle w:val="24"/>
            </w:pPr>
            <w:r>
              <w:rPr>
                <w:rFonts w:hint="eastAsia"/>
              </w:rPr>
              <w:t>须基于我中心现有ICP-MS平台开展验证</w:t>
            </w:r>
          </w:p>
        </w:tc>
      </w:tr>
      <w:tr w14:paraId="79DACC94">
        <w:tblPrEx>
          <w:tblCellMar>
            <w:top w:w="0" w:type="dxa"/>
            <w:left w:w="108" w:type="dxa"/>
            <w:bottom w:w="0" w:type="dxa"/>
            <w:right w:w="108" w:type="dxa"/>
          </w:tblCellMar>
        </w:tblPrEx>
        <w:tc>
          <w:p w14:paraId="670CC83F">
            <w:pPr>
              <w:pStyle w:val="24"/>
            </w:pPr>
            <w:r>
              <w:t>3</w:t>
            </w:r>
          </w:p>
        </w:tc>
        <w:tc>
          <w:p w14:paraId="7D148B2A">
            <w:pPr>
              <w:pStyle w:val="24"/>
            </w:pPr>
            <w:r>
              <w:rPr>
                <w:rFonts w:hint="eastAsia"/>
              </w:rPr>
              <w:t>同型半胱氨酸检测项目</w:t>
            </w:r>
          </w:p>
        </w:tc>
        <w:tc>
          <w:p w14:paraId="3E74FD6C">
            <w:pPr>
              <w:pStyle w:val="24"/>
            </w:pPr>
            <w:r>
              <w:rPr>
                <w:rFonts w:hint="eastAsia"/>
              </w:rPr>
              <w:t>RZ500或AB4500</w:t>
            </w:r>
          </w:p>
        </w:tc>
        <w:tc>
          <w:p w14:paraId="7397E908">
            <w:pPr>
              <w:pStyle w:val="24"/>
            </w:pPr>
            <w:r>
              <w:rPr>
                <w:rFonts w:hint="eastAsia"/>
              </w:rPr>
              <w:t>厂家可根据自身试剂、方法及技术特点任选其中一台仪器开展验证</w:t>
            </w:r>
          </w:p>
        </w:tc>
      </w:tr>
    </w:tbl>
    <w:p w14:paraId="52D522C7">
      <w:pPr>
        <w:pStyle w:val="3"/>
      </w:pPr>
      <w:r>
        <w:rPr>
          <w:rFonts w:hint="eastAsia"/>
        </w:rPr>
        <w:t>其中，</w:t>
      </w:r>
      <w:r>
        <w:rPr>
          <w:rFonts w:hint="eastAsia"/>
          <w:b/>
          <w:bCs/>
        </w:rPr>
        <w:t>脂溶性氨基酸项目与同型半胱氨酸项目无需同时在RZ500和AB4500两台仪器上进行验证，可根据厂家方法适配情况选择其中一台仪器完成项目建立及性能验证。</w:t>
      </w:r>
    </w:p>
    <w:bookmarkEnd w:id="1"/>
    <w:bookmarkEnd w:id="3"/>
    <w:p w14:paraId="43AE31C2">
      <w:pPr>
        <w:pStyle w:val="4"/>
      </w:pPr>
      <w:bookmarkStart w:id="4" w:name="二招募对象"/>
      <w:r>
        <w:rPr>
          <w:rFonts w:hint="eastAsia"/>
        </w:rPr>
        <w:t>二、招募对象</w:t>
      </w:r>
    </w:p>
    <w:p w14:paraId="205C3C6C">
      <w:pPr>
        <w:pStyle w:val="23"/>
      </w:pPr>
      <w:r>
        <w:rPr>
          <w:rFonts w:hint="eastAsia"/>
        </w:rPr>
        <w:t>面向具备临床质谱检测相关试剂、校准品、质控品、前处理耗材、方法开发及技术服务能力的生产厂家、总代理商或经厂家正式授权的技术服务单位。</w:t>
      </w:r>
    </w:p>
    <w:p w14:paraId="7DE6F78B">
      <w:pPr>
        <w:pStyle w:val="3"/>
      </w:pPr>
      <w:r>
        <w:rPr>
          <w:rFonts w:hint="eastAsia"/>
        </w:rPr>
        <w:t>鼓励具有三级医院、医学检验实验室、精准医学中心或临床质谱实验室相关项目实施经验的单位报名。</w:t>
      </w:r>
    </w:p>
    <w:bookmarkEnd w:id="4"/>
    <w:p w14:paraId="55DE1F07">
      <w:pPr>
        <w:pStyle w:val="4"/>
      </w:pPr>
      <w:bookmarkStart w:id="5" w:name="三合作厂家基本要求"/>
      <w:r>
        <w:rPr>
          <w:rFonts w:hint="eastAsia"/>
        </w:rPr>
        <w:t>三、合作厂家基本要求</w:t>
      </w:r>
    </w:p>
    <w:p w14:paraId="71799050">
      <w:pPr>
        <w:pStyle w:val="23"/>
      </w:pPr>
      <w:r>
        <w:rPr>
          <w:rFonts w:hint="eastAsia"/>
        </w:rPr>
        <w:t>报名单位原则上应满足以下条件：</w:t>
      </w:r>
    </w:p>
    <w:p w14:paraId="1803AA34">
      <w:pPr>
        <w:pStyle w:val="24"/>
        <w:numPr>
          <w:ilvl w:val="0"/>
          <w:numId w:val="2"/>
        </w:numPr>
      </w:pPr>
      <w:r>
        <w:rPr>
          <w:rFonts w:hint="eastAsia"/>
        </w:rPr>
        <w:t>依法设立并具有独立承担民事责任能力，具备与拟申报项目相适应的经营范围及相关资质；</w:t>
      </w:r>
    </w:p>
    <w:p w14:paraId="0C83DE28">
      <w:pPr>
        <w:pStyle w:val="24"/>
        <w:numPr>
          <w:ilvl w:val="0"/>
          <w:numId w:val="2"/>
        </w:numPr>
      </w:pPr>
      <w:r>
        <w:rPr>
          <w:rFonts w:hint="eastAsia"/>
        </w:rPr>
        <w:t>所提供的试剂、校准品、质控品、耗材等应来源合法、质量稳定，并能够提供相应的产品及质量证明材料；</w:t>
      </w:r>
    </w:p>
    <w:p w14:paraId="095A1E73">
      <w:pPr>
        <w:pStyle w:val="24"/>
        <w:numPr>
          <w:ilvl w:val="0"/>
          <w:numId w:val="2"/>
        </w:numPr>
      </w:pPr>
      <w:r>
        <w:rPr>
          <w:rFonts w:hint="eastAsia"/>
        </w:rPr>
        <w:t>具备成熟的质谱检测解决方案，能够在我中心现有仪器平台上完成方法适配、参数优化及性能验证；</w:t>
      </w:r>
    </w:p>
    <w:p w14:paraId="6FEB38BE">
      <w:pPr>
        <w:pStyle w:val="24"/>
        <w:numPr>
          <w:ilvl w:val="0"/>
          <w:numId w:val="2"/>
        </w:numPr>
      </w:pPr>
      <w:r>
        <w:rPr>
          <w:rFonts w:hint="eastAsia"/>
        </w:rPr>
        <w:t>具备相应的技术支持团队，能够安排专业工程师或应用工程师到现场完成方法建立、调试、培训及验证工作；</w:t>
      </w:r>
    </w:p>
    <w:p w14:paraId="39DAA278">
      <w:pPr>
        <w:pStyle w:val="24"/>
        <w:numPr>
          <w:ilvl w:val="0"/>
          <w:numId w:val="2"/>
        </w:numPr>
      </w:pPr>
      <w:r>
        <w:rPr>
          <w:rFonts w:hint="eastAsia"/>
        </w:rPr>
        <w:t>能够根据医院临床检验实验室质量管理要求提供完整的项目性能验证方案及验证报告；</w:t>
      </w:r>
    </w:p>
    <w:p w14:paraId="7FB3B661">
      <w:pPr>
        <w:pStyle w:val="24"/>
        <w:numPr>
          <w:ilvl w:val="0"/>
          <w:numId w:val="2"/>
        </w:numPr>
      </w:pPr>
      <w:r>
        <w:rPr>
          <w:rFonts w:hint="eastAsia"/>
        </w:rPr>
        <w:t>具有良好的商业信誉和售后服务能力，近年无严重违法违规、产品质量或商业诚信问题；</w:t>
      </w:r>
    </w:p>
    <w:p w14:paraId="7C4090C9">
      <w:pPr>
        <w:pStyle w:val="24"/>
        <w:numPr>
          <w:ilvl w:val="0"/>
          <w:numId w:val="2"/>
        </w:numPr>
      </w:pPr>
      <w:r>
        <w:rPr>
          <w:rFonts w:hint="eastAsia"/>
        </w:rPr>
        <w:t>报名单位须保证所提交材料及验证数据真实、完整、可追溯，不得提供虚假资料或人为筛选、修改验证结果。</w:t>
      </w:r>
    </w:p>
    <w:bookmarkEnd w:id="5"/>
    <w:p w14:paraId="6162E124">
      <w:pPr>
        <w:pStyle w:val="4"/>
      </w:pPr>
      <w:bookmarkStart w:id="6" w:name="四性能验证主要内容"/>
      <w:r>
        <w:rPr>
          <w:rFonts w:hint="eastAsia"/>
        </w:rPr>
        <w:t>四、性能验证主要内容</w:t>
      </w:r>
    </w:p>
    <w:p w14:paraId="660C19C4">
      <w:pPr>
        <w:pStyle w:val="23"/>
      </w:pPr>
      <w:r>
        <w:rPr>
          <w:rFonts w:hint="eastAsia"/>
        </w:rPr>
        <w:t>各报名厂家应结合拟申报项目特点及实验室相关质量管理要求，制定科学、完整、可执行的性能验证方案。验证内容原则上包括但不限于：</w:t>
      </w:r>
    </w:p>
    <w:p w14:paraId="6FB66895">
      <w:pPr>
        <w:pStyle w:val="5"/>
      </w:pPr>
      <w:bookmarkStart w:id="7" w:name="一方法建立与优化"/>
      <w:r>
        <w:rPr>
          <w:rFonts w:hint="eastAsia"/>
        </w:rPr>
        <w:t>（一）方法建立与优化</w:t>
      </w:r>
    </w:p>
    <w:p w14:paraId="46C68B56">
      <w:pPr>
        <w:pStyle w:val="23"/>
      </w:pPr>
      <w:r>
        <w:rPr>
          <w:rFonts w:hint="eastAsia"/>
        </w:rPr>
        <w:t>包括样本前处理条件、色谱条件、质谱参数、内标设置、校准曲线、定量范围以及数据处理方法等。</w:t>
      </w:r>
    </w:p>
    <w:p w14:paraId="090E183E">
      <w:pPr>
        <w:pStyle w:val="3"/>
      </w:pPr>
      <w:r>
        <w:rPr>
          <w:rFonts w:hint="eastAsia"/>
        </w:rPr>
        <w:t>对于ICP-MS微量元素项目，还应充分考虑样本消解或稀释方法、内标元素选择、基体效应、干扰校正、携带污染控制等因素。</w:t>
      </w:r>
    </w:p>
    <w:bookmarkEnd w:id="7"/>
    <w:p w14:paraId="1BA73C38">
      <w:pPr>
        <w:pStyle w:val="5"/>
      </w:pPr>
      <w:bookmarkStart w:id="8" w:name="二分析性能验证"/>
      <w:r>
        <w:rPr>
          <w:rFonts w:hint="eastAsia"/>
        </w:rPr>
        <w:t>（二）分析性能验证</w:t>
      </w:r>
    </w:p>
    <w:p w14:paraId="51B2252B">
      <w:pPr>
        <w:pStyle w:val="23"/>
      </w:pPr>
      <w:r>
        <w:rPr>
          <w:rFonts w:hint="eastAsia"/>
        </w:rPr>
        <w:t>根据项目特点开展相应验证，包括但不限于：</w:t>
      </w:r>
    </w:p>
    <w:p w14:paraId="7A68A762">
      <w:pPr>
        <w:pStyle w:val="24"/>
        <w:numPr>
          <w:ilvl w:val="0"/>
          <w:numId w:val="3"/>
        </w:numPr>
      </w:pPr>
      <w:r>
        <w:rPr>
          <w:rFonts w:hint="eastAsia"/>
        </w:rPr>
        <w:t>精密度；</w:t>
      </w:r>
    </w:p>
    <w:p w14:paraId="60602ED5">
      <w:pPr>
        <w:pStyle w:val="24"/>
        <w:numPr>
          <w:ilvl w:val="0"/>
          <w:numId w:val="3"/>
        </w:numPr>
      </w:pPr>
      <w:r>
        <w:rPr>
          <w:rFonts w:hint="eastAsia"/>
        </w:rPr>
        <w:t>正确度或偏倚；</w:t>
      </w:r>
    </w:p>
    <w:p w14:paraId="14D3CA23">
      <w:pPr>
        <w:pStyle w:val="24"/>
        <w:numPr>
          <w:ilvl w:val="0"/>
          <w:numId w:val="3"/>
        </w:numPr>
      </w:pPr>
      <w:r>
        <w:rPr>
          <w:rFonts w:hint="eastAsia"/>
        </w:rPr>
        <w:t>线性范围/分析测量范围；</w:t>
      </w:r>
    </w:p>
    <w:p w14:paraId="29982138">
      <w:pPr>
        <w:pStyle w:val="24"/>
        <w:numPr>
          <w:ilvl w:val="0"/>
          <w:numId w:val="3"/>
        </w:numPr>
      </w:pPr>
      <w:r>
        <w:rPr>
          <w:rFonts w:hint="eastAsia"/>
        </w:rPr>
        <w:t>检出限及定量限；</w:t>
      </w:r>
    </w:p>
    <w:p w14:paraId="285C27A1">
      <w:pPr>
        <w:pStyle w:val="24"/>
        <w:numPr>
          <w:ilvl w:val="0"/>
          <w:numId w:val="3"/>
        </w:numPr>
      </w:pPr>
      <w:r>
        <w:rPr>
          <w:rFonts w:hint="eastAsia"/>
        </w:rPr>
        <w:t>回收率；</w:t>
      </w:r>
    </w:p>
    <w:p w14:paraId="27A58EA5">
      <w:pPr>
        <w:pStyle w:val="24"/>
        <w:numPr>
          <w:ilvl w:val="0"/>
          <w:numId w:val="3"/>
        </w:numPr>
      </w:pPr>
      <w:r>
        <w:rPr>
          <w:rFonts w:hint="eastAsia"/>
        </w:rPr>
        <w:t>基质效应；</w:t>
      </w:r>
    </w:p>
    <w:p w14:paraId="332D68D3">
      <w:pPr>
        <w:pStyle w:val="24"/>
        <w:numPr>
          <w:ilvl w:val="0"/>
          <w:numId w:val="3"/>
        </w:numPr>
      </w:pPr>
      <w:r>
        <w:rPr>
          <w:rFonts w:hint="eastAsia"/>
        </w:rPr>
        <w:t>携带污染；</w:t>
      </w:r>
    </w:p>
    <w:p w14:paraId="631EC98C">
      <w:pPr>
        <w:pStyle w:val="24"/>
        <w:numPr>
          <w:ilvl w:val="0"/>
          <w:numId w:val="3"/>
        </w:numPr>
      </w:pPr>
      <w:r>
        <w:rPr>
          <w:rFonts w:hint="eastAsia"/>
        </w:rPr>
        <w:t>稳定性；</w:t>
      </w:r>
    </w:p>
    <w:p w14:paraId="13760BDC">
      <w:pPr>
        <w:pStyle w:val="24"/>
        <w:numPr>
          <w:ilvl w:val="0"/>
          <w:numId w:val="3"/>
        </w:numPr>
      </w:pPr>
      <w:r>
        <w:rPr>
          <w:rFonts w:hint="eastAsia"/>
        </w:rPr>
        <w:t>特异性及潜在干扰因素；</w:t>
      </w:r>
    </w:p>
    <w:p w14:paraId="7DC94F5A">
      <w:pPr>
        <w:pStyle w:val="24"/>
        <w:numPr>
          <w:ilvl w:val="0"/>
          <w:numId w:val="3"/>
        </w:numPr>
      </w:pPr>
      <w:r>
        <w:rPr>
          <w:rFonts w:hint="eastAsia"/>
        </w:rPr>
        <w:t>方法比对；</w:t>
      </w:r>
    </w:p>
    <w:p w14:paraId="35071513">
      <w:pPr>
        <w:pStyle w:val="24"/>
        <w:numPr>
          <w:ilvl w:val="0"/>
          <w:numId w:val="3"/>
        </w:numPr>
      </w:pPr>
      <w:r>
        <w:rPr>
          <w:rFonts w:hint="eastAsia"/>
        </w:rPr>
        <w:t>参考区间验证或临床适用性评价；</w:t>
      </w:r>
    </w:p>
    <w:p w14:paraId="353622BE">
      <w:pPr>
        <w:pStyle w:val="24"/>
        <w:numPr>
          <w:ilvl w:val="0"/>
          <w:numId w:val="3"/>
        </w:numPr>
      </w:pPr>
      <w:r>
        <w:rPr>
          <w:rFonts w:hint="eastAsia"/>
        </w:rPr>
        <w:t>其他与项目临床应用相关的性能指标。</w:t>
      </w:r>
    </w:p>
    <w:p w14:paraId="266FED79">
      <w:pPr>
        <w:pStyle w:val="23"/>
      </w:pPr>
      <w:r>
        <w:rPr>
          <w:rFonts w:hint="eastAsia"/>
        </w:rPr>
        <w:t>具体性能指标及判定标准应根据相关国家标准、行业标准、临床检验技术规范、厂家说明书及实验室实际应用要求合理制定。</w:t>
      </w:r>
    </w:p>
    <w:bookmarkEnd w:id="6"/>
    <w:bookmarkEnd w:id="8"/>
    <w:p w14:paraId="4C7BB429">
      <w:pPr>
        <w:pStyle w:val="4"/>
      </w:pPr>
      <w:bookmarkStart w:id="9" w:name="五厂家需承担的工作"/>
      <w:r>
        <w:rPr>
          <w:rFonts w:hint="eastAsia"/>
        </w:rPr>
        <w:t>五、厂家需承担的工作</w:t>
      </w:r>
    </w:p>
    <w:p w14:paraId="791E21A6">
      <w:pPr>
        <w:pStyle w:val="23"/>
      </w:pPr>
      <w:r>
        <w:rPr>
          <w:rFonts w:hint="eastAsia"/>
        </w:rPr>
        <w:t>入选厂家原则上应负责：</w:t>
      </w:r>
    </w:p>
    <w:p w14:paraId="7B3B29F9">
      <w:pPr>
        <w:pStyle w:val="24"/>
        <w:numPr>
          <w:ilvl w:val="0"/>
          <w:numId w:val="4"/>
        </w:numPr>
      </w:pPr>
      <w:r>
        <w:rPr>
          <w:rFonts w:hint="eastAsia"/>
        </w:rPr>
        <w:t>提供项目性能验证所需要的试剂、校准品、质控品、内标、前处理耗材及必要的配套材料；</w:t>
      </w:r>
    </w:p>
    <w:p w14:paraId="22BF00F7">
      <w:pPr>
        <w:pStyle w:val="24"/>
        <w:numPr>
          <w:ilvl w:val="0"/>
          <w:numId w:val="4"/>
        </w:numPr>
      </w:pPr>
      <w:r>
        <w:rPr>
          <w:rFonts w:hint="eastAsia"/>
        </w:rPr>
        <w:t>根据我中心现有仪器情况完成项目方法适配及仪器参数优化；</w:t>
      </w:r>
    </w:p>
    <w:p w14:paraId="72EFA353">
      <w:pPr>
        <w:pStyle w:val="24"/>
        <w:numPr>
          <w:ilvl w:val="0"/>
          <w:numId w:val="4"/>
        </w:numPr>
      </w:pPr>
      <w:r>
        <w:rPr>
          <w:rFonts w:hint="eastAsia"/>
        </w:rPr>
        <w:t>派遣具备相应技术能力的应用工程师现场配合项目实施；</w:t>
      </w:r>
    </w:p>
    <w:p w14:paraId="7196146F">
      <w:pPr>
        <w:pStyle w:val="24"/>
        <w:numPr>
          <w:ilvl w:val="0"/>
          <w:numId w:val="4"/>
        </w:numPr>
      </w:pPr>
      <w:r>
        <w:rPr>
          <w:rFonts w:hint="eastAsia"/>
        </w:rPr>
        <w:t>提供完整的标准操作程序（SOP）建议稿；</w:t>
      </w:r>
    </w:p>
    <w:p w14:paraId="54CE9B09">
      <w:pPr>
        <w:pStyle w:val="24"/>
        <w:numPr>
          <w:ilvl w:val="0"/>
          <w:numId w:val="4"/>
        </w:numPr>
      </w:pPr>
      <w:r>
        <w:rPr>
          <w:rFonts w:hint="eastAsia"/>
        </w:rPr>
        <w:t>协助完成实验设计、性能验证、数据统计分析及结果评价；</w:t>
      </w:r>
    </w:p>
    <w:p w14:paraId="35D2DD2E">
      <w:pPr>
        <w:pStyle w:val="24"/>
        <w:numPr>
          <w:ilvl w:val="0"/>
          <w:numId w:val="4"/>
        </w:numPr>
      </w:pPr>
      <w:r>
        <w:rPr>
          <w:rFonts w:hint="eastAsia"/>
        </w:rPr>
        <w:t>验证完成后形成完整、规范的性能验证资料；</w:t>
      </w:r>
    </w:p>
    <w:p w14:paraId="2EEAA3FC">
      <w:pPr>
        <w:pStyle w:val="24"/>
        <w:numPr>
          <w:ilvl w:val="0"/>
          <w:numId w:val="4"/>
        </w:numPr>
      </w:pPr>
      <w:r>
        <w:rPr>
          <w:rFonts w:hint="eastAsia"/>
        </w:rPr>
        <w:t>对我中心相关工作人员进行必要的项目操作及维护培训；</w:t>
      </w:r>
    </w:p>
    <w:p w14:paraId="7F14F4D9">
      <w:pPr>
        <w:pStyle w:val="24"/>
        <w:numPr>
          <w:ilvl w:val="0"/>
          <w:numId w:val="4"/>
        </w:numPr>
      </w:pPr>
      <w:r>
        <w:rPr>
          <w:rFonts w:hint="eastAsia"/>
        </w:rPr>
        <w:t>配合解决项目验证及后续试运行阶段出现的技术问题。</w:t>
      </w:r>
    </w:p>
    <w:bookmarkEnd w:id="9"/>
    <w:p w14:paraId="20539C3F">
      <w:pPr>
        <w:pStyle w:val="4"/>
      </w:pPr>
      <w:bookmarkStart w:id="10" w:name="六验证结果及资料要求"/>
      <w:r>
        <w:rPr>
          <w:rFonts w:hint="eastAsia"/>
        </w:rPr>
        <w:t>六、验证结果及资料要求</w:t>
      </w:r>
    </w:p>
    <w:p w14:paraId="51B92510">
      <w:pPr>
        <w:pStyle w:val="23"/>
      </w:pPr>
      <w:r>
        <w:rPr>
          <w:rFonts w:hint="eastAsia"/>
        </w:rPr>
        <w:t>性能验证结束后，合作厂家应协助形成至少包括以下内容的技术资料：</w:t>
      </w:r>
    </w:p>
    <w:p w14:paraId="71CF787C">
      <w:pPr>
        <w:pStyle w:val="24"/>
        <w:numPr>
          <w:ilvl w:val="0"/>
          <w:numId w:val="5"/>
        </w:numPr>
      </w:pPr>
      <w:r>
        <w:rPr>
          <w:rFonts w:hint="eastAsia"/>
        </w:rPr>
        <w:t>项目性能验证方案；</w:t>
      </w:r>
    </w:p>
    <w:p w14:paraId="34C206A6">
      <w:pPr>
        <w:pStyle w:val="24"/>
        <w:numPr>
          <w:ilvl w:val="0"/>
          <w:numId w:val="5"/>
        </w:numPr>
      </w:pPr>
      <w:r>
        <w:rPr>
          <w:rFonts w:hint="eastAsia"/>
        </w:rPr>
        <w:t>样本前处理及检测操作流程；</w:t>
      </w:r>
    </w:p>
    <w:p w14:paraId="67AD68F7">
      <w:pPr>
        <w:pStyle w:val="24"/>
        <w:numPr>
          <w:ilvl w:val="0"/>
          <w:numId w:val="5"/>
        </w:numPr>
      </w:pPr>
      <w:r>
        <w:rPr>
          <w:rFonts w:hint="eastAsia"/>
        </w:rPr>
        <w:t>仪器方法及关键参数；</w:t>
      </w:r>
    </w:p>
    <w:p w14:paraId="4C028C36">
      <w:pPr>
        <w:pStyle w:val="24"/>
        <w:numPr>
          <w:ilvl w:val="0"/>
          <w:numId w:val="5"/>
        </w:numPr>
      </w:pPr>
      <w:r>
        <w:rPr>
          <w:rFonts w:hint="eastAsia"/>
        </w:rPr>
        <w:t>校准与质量控制方案；</w:t>
      </w:r>
    </w:p>
    <w:p w14:paraId="454F1736">
      <w:pPr>
        <w:pStyle w:val="24"/>
        <w:numPr>
          <w:ilvl w:val="0"/>
          <w:numId w:val="5"/>
        </w:numPr>
      </w:pPr>
      <w:r>
        <w:rPr>
          <w:rFonts w:hint="eastAsia"/>
        </w:rPr>
        <w:t>各项性能验证原始数据；</w:t>
      </w:r>
    </w:p>
    <w:p w14:paraId="3342AF60">
      <w:pPr>
        <w:pStyle w:val="24"/>
        <w:numPr>
          <w:ilvl w:val="0"/>
          <w:numId w:val="5"/>
        </w:numPr>
      </w:pPr>
      <w:r>
        <w:rPr>
          <w:rFonts w:hint="eastAsia"/>
        </w:rPr>
        <w:t>数据统计及评价结果；</w:t>
      </w:r>
    </w:p>
    <w:p w14:paraId="71C060A4">
      <w:pPr>
        <w:pStyle w:val="24"/>
        <w:numPr>
          <w:ilvl w:val="0"/>
          <w:numId w:val="5"/>
        </w:numPr>
      </w:pPr>
      <w:r>
        <w:rPr>
          <w:rFonts w:hint="eastAsia"/>
        </w:rPr>
        <w:t>性能验证总结报告；</w:t>
      </w:r>
    </w:p>
    <w:p w14:paraId="09BA980D">
      <w:pPr>
        <w:pStyle w:val="24"/>
        <w:numPr>
          <w:ilvl w:val="0"/>
          <w:numId w:val="5"/>
        </w:numPr>
      </w:pPr>
      <w:r>
        <w:rPr>
          <w:rFonts w:hint="eastAsia"/>
        </w:rPr>
        <w:t>项目标准操作程序（SOP）；</w:t>
      </w:r>
    </w:p>
    <w:p w14:paraId="7C1B8C27">
      <w:pPr>
        <w:pStyle w:val="24"/>
        <w:numPr>
          <w:ilvl w:val="0"/>
          <w:numId w:val="5"/>
        </w:numPr>
      </w:pPr>
      <w:r>
        <w:rPr>
          <w:rFonts w:hint="eastAsia"/>
        </w:rPr>
        <w:t>试剂、校准品、质控品及主要耗材清单；</w:t>
      </w:r>
    </w:p>
    <w:p w14:paraId="4EA56C97">
      <w:pPr>
        <w:pStyle w:val="24"/>
        <w:numPr>
          <w:ilvl w:val="0"/>
          <w:numId w:val="5"/>
        </w:numPr>
      </w:pPr>
      <w:r>
        <w:rPr>
          <w:rFonts w:hint="eastAsia"/>
        </w:rPr>
        <w:t>项目运行成本、单次检测成本及试剂耗材使用周期说明；</w:t>
      </w:r>
    </w:p>
    <w:p w14:paraId="7859AD87">
      <w:pPr>
        <w:pStyle w:val="24"/>
        <w:numPr>
          <w:ilvl w:val="0"/>
          <w:numId w:val="5"/>
        </w:numPr>
      </w:pPr>
      <w:r>
        <w:rPr>
          <w:rFonts w:hint="eastAsia"/>
        </w:rPr>
        <w:t>质控、仪器维护及常见故障处理建议；</w:t>
      </w:r>
    </w:p>
    <w:p w14:paraId="2CEC1F58">
      <w:pPr>
        <w:pStyle w:val="24"/>
        <w:numPr>
          <w:ilvl w:val="0"/>
          <w:numId w:val="5"/>
        </w:numPr>
      </w:pPr>
      <w:r>
        <w:rPr>
          <w:rFonts w:hint="eastAsia"/>
        </w:rPr>
        <w:t>其他医院认为有必要提供的技术资料。</w:t>
      </w:r>
    </w:p>
    <w:p w14:paraId="4C409A6A">
      <w:pPr>
        <w:pStyle w:val="23"/>
      </w:pPr>
      <w:r>
        <w:rPr>
          <w:rFonts w:hint="eastAsia"/>
        </w:rPr>
        <w:t>所有原始实验数据应真实、完整并具有可追溯性，最终验证结果以我中心实际实验数据为依据。</w:t>
      </w:r>
    </w:p>
    <w:bookmarkEnd w:id="10"/>
    <w:p w14:paraId="6F1A509E">
      <w:pPr>
        <w:pStyle w:val="4"/>
      </w:pPr>
      <w:bookmarkStart w:id="11" w:name="七报名材料"/>
      <w:r>
        <w:rPr>
          <w:rFonts w:hint="eastAsia"/>
        </w:rPr>
        <w:t>七、报名材料</w:t>
      </w:r>
    </w:p>
    <w:p w14:paraId="6AA95149">
      <w:pPr>
        <w:pStyle w:val="23"/>
      </w:pPr>
      <w:r>
        <w:rPr>
          <w:rFonts w:hint="eastAsia"/>
        </w:rPr>
        <w:t>有意向参与的厂家请提交以下资料：</w:t>
      </w:r>
    </w:p>
    <w:p w14:paraId="2E693EB1">
      <w:pPr>
        <w:pStyle w:val="24"/>
        <w:numPr>
          <w:ilvl w:val="0"/>
          <w:numId w:val="6"/>
        </w:numPr>
      </w:pPr>
      <w:r>
        <w:rPr>
          <w:rFonts w:hint="eastAsia"/>
        </w:rPr>
        <w:t>企业营业执照及相关资质证明；</w:t>
      </w:r>
    </w:p>
    <w:p w14:paraId="5D4DE71C">
      <w:pPr>
        <w:pStyle w:val="24"/>
        <w:numPr>
          <w:ilvl w:val="0"/>
          <w:numId w:val="6"/>
        </w:numPr>
      </w:pPr>
      <w:r>
        <w:rPr>
          <w:rFonts w:hint="eastAsia"/>
        </w:rPr>
        <w:t>法定代表人身份证明或授权委托书；</w:t>
      </w:r>
    </w:p>
    <w:p w14:paraId="6DB1CC2B">
      <w:pPr>
        <w:pStyle w:val="24"/>
        <w:numPr>
          <w:ilvl w:val="0"/>
          <w:numId w:val="6"/>
        </w:numPr>
      </w:pPr>
      <w:r>
        <w:rPr>
          <w:rFonts w:hint="eastAsia"/>
        </w:rPr>
        <w:t>厂家授权文件（代理商或授权服务单位提供）；</w:t>
      </w:r>
    </w:p>
    <w:p w14:paraId="7DF6D6B0">
      <w:pPr>
        <w:pStyle w:val="24"/>
        <w:numPr>
          <w:ilvl w:val="0"/>
          <w:numId w:val="6"/>
        </w:numPr>
      </w:pPr>
      <w:r>
        <w:rPr>
          <w:rFonts w:hint="eastAsia"/>
        </w:rPr>
        <w:t>拟申报项目及拟使用仪器平台说明；</w:t>
      </w:r>
    </w:p>
    <w:p w14:paraId="086F2E28">
      <w:pPr>
        <w:pStyle w:val="24"/>
        <w:numPr>
          <w:ilvl w:val="0"/>
          <w:numId w:val="6"/>
        </w:numPr>
      </w:pPr>
      <w:r>
        <w:rPr>
          <w:rFonts w:hint="eastAsia"/>
        </w:rPr>
        <w:t>项目整体技术方案及性能验证方案；</w:t>
      </w:r>
    </w:p>
    <w:p w14:paraId="25052921">
      <w:pPr>
        <w:pStyle w:val="24"/>
        <w:numPr>
          <w:ilvl w:val="0"/>
          <w:numId w:val="6"/>
        </w:numPr>
      </w:pPr>
      <w:r>
        <w:rPr>
          <w:rFonts w:hint="eastAsia"/>
        </w:rPr>
        <w:t>试剂、校准品、质控品、耗材等产品资料；</w:t>
      </w:r>
    </w:p>
    <w:p w14:paraId="630E28D2">
      <w:pPr>
        <w:pStyle w:val="24"/>
        <w:numPr>
          <w:ilvl w:val="0"/>
          <w:numId w:val="6"/>
        </w:numPr>
      </w:pPr>
      <w:r>
        <w:rPr>
          <w:rFonts w:hint="eastAsia"/>
        </w:rPr>
        <w:t>相关产品注册、备案或其他合规性证明材料（如适用）；</w:t>
      </w:r>
    </w:p>
    <w:p w14:paraId="5C2AC498">
      <w:pPr>
        <w:pStyle w:val="24"/>
        <w:numPr>
          <w:ilvl w:val="0"/>
          <w:numId w:val="6"/>
        </w:numPr>
      </w:pPr>
      <w:r>
        <w:rPr>
          <w:rFonts w:hint="eastAsia"/>
        </w:rPr>
        <w:t>同类项目医院用户名单或相关项目实施案例；</w:t>
      </w:r>
    </w:p>
    <w:p w14:paraId="3117C31E">
      <w:pPr>
        <w:pStyle w:val="24"/>
        <w:numPr>
          <w:ilvl w:val="0"/>
          <w:numId w:val="6"/>
        </w:numPr>
      </w:pPr>
      <w:r>
        <w:rPr>
          <w:rFonts w:hint="eastAsia"/>
        </w:rPr>
        <w:t>技术支持及售后服务方案；</w:t>
      </w:r>
    </w:p>
    <w:p w14:paraId="5A291D5C">
      <w:pPr>
        <w:pStyle w:val="24"/>
        <w:numPr>
          <w:ilvl w:val="0"/>
          <w:numId w:val="6"/>
        </w:numPr>
      </w:pPr>
      <w:r>
        <w:rPr>
          <w:rFonts w:hint="eastAsia"/>
        </w:rPr>
        <w:t>项目试剂耗材成本及后续供应方案；</w:t>
      </w:r>
    </w:p>
    <w:p w14:paraId="05C44642">
      <w:pPr>
        <w:pStyle w:val="24"/>
        <w:numPr>
          <w:ilvl w:val="0"/>
          <w:numId w:val="6"/>
        </w:numPr>
      </w:pPr>
      <w:r>
        <w:rPr>
          <w:rFonts w:hint="eastAsia"/>
        </w:rPr>
        <w:t>联系人及联系方式；</w:t>
      </w:r>
    </w:p>
    <w:p w14:paraId="4BE7A77B">
      <w:pPr>
        <w:pStyle w:val="24"/>
        <w:numPr>
          <w:ilvl w:val="0"/>
          <w:numId w:val="6"/>
        </w:numPr>
      </w:pPr>
      <w:r>
        <w:rPr>
          <w:rFonts w:hint="eastAsia"/>
        </w:rPr>
        <w:t>其他能够证明企业技术实力和项目实施能力的材料。</w:t>
      </w:r>
    </w:p>
    <w:p w14:paraId="7F5880CE">
      <w:pPr>
        <w:pStyle w:val="23"/>
      </w:pPr>
      <w:r>
        <w:rPr>
          <w:rFonts w:hint="eastAsia"/>
        </w:rPr>
        <w:t>厂家可根据自身技术优势报名</w:t>
      </w:r>
      <w:r>
        <w:rPr>
          <w:rFonts w:hint="eastAsia"/>
          <w:b/>
          <w:bCs/>
        </w:rPr>
        <w:t>一个、两个或全部项目</w:t>
      </w:r>
      <w:r>
        <w:rPr>
          <w:rFonts w:hint="eastAsia"/>
        </w:rPr>
        <w:t>，并在报名材料中明确所申报项目。</w:t>
      </w:r>
    </w:p>
    <w:p w14:paraId="58BBDCEA">
      <w:pPr>
        <w:pStyle w:val="3"/>
      </w:pPr>
      <w:r>
        <w:rPr>
          <w:rFonts w:hint="eastAsia"/>
        </w:rPr>
        <w:t>其中，报名脂溶性氨基酸及同型半胱氨酸项目的厂家，应明确注明拟选择的验证平台为</w:t>
      </w:r>
      <w:r>
        <w:rPr>
          <w:rFonts w:hint="eastAsia"/>
          <w:b/>
          <w:bCs/>
        </w:rPr>
        <w:t>RZ500或AB4500</w:t>
      </w:r>
      <w:r>
        <w:rPr>
          <w:rFonts w:hint="eastAsia"/>
        </w:rPr>
        <w:t>；报名微量元素项目的厂家统一在</w:t>
      </w:r>
      <w:r>
        <w:rPr>
          <w:b/>
          <w:bCs/>
        </w:rPr>
        <w:t>ICP-MS</w:t>
      </w:r>
      <w:r>
        <w:rPr>
          <w:rFonts w:hint="eastAsia"/>
        </w:rPr>
        <w:t>平台开展验证。</w:t>
      </w:r>
    </w:p>
    <w:bookmarkEnd w:id="11"/>
    <w:p w14:paraId="125D4DBD">
      <w:pPr>
        <w:pStyle w:val="4"/>
      </w:pPr>
      <w:bookmarkStart w:id="12" w:name="八遴选原则"/>
      <w:r>
        <w:rPr>
          <w:rFonts w:hint="eastAsia"/>
        </w:rPr>
        <w:t>八、遴选原则</w:t>
      </w:r>
    </w:p>
    <w:p w14:paraId="5EB4E296">
      <w:pPr>
        <w:pStyle w:val="23"/>
      </w:pPr>
      <w:r>
        <w:rPr>
          <w:rFonts w:hint="eastAsia"/>
        </w:rPr>
        <w:t>医院将根据报名单位提交的材料，结合以下因素进行综合评估：</w:t>
      </w:r>
    </w:p>
    <w:p w14:paraId="35CC288A">
      <w:pPr>
        <w:pStyle w:val="3"/>
      </w:pPr>
      <w:r>
        <w:rPr>
          <w:rFonts w:hint="eastAsia"/>
          <w:b/>
          <w:bCs/>
        </w:rPr>
        <w:t>技术方案成熟度、现有仪器适配性、分析性能、临床应用价值、试剂及耗材稳定性、操作便利性、检测效率、项目运行成本、质量控制体系、项目实施经验以及售后技术支持能力等。</w:t>
      </w:r>
    </w:p>
    <w:p w14:paraId="4EE56BCA">
      <w:pPr>
        <w:pStyle w:val="3"/>
      </w:pPr>
      <w:r>
        <w:rPr>
          <w:rFonts w:hint="eastAsia"/>
        </w:rPr>
        <w:t>必要时，我中心可组织技术交流、现场演示或预实验，并根据综合评估结果确定进入正式性能验证阶段的合作厂家。</w:t>
      </w:r>
    </w:p>
    <w:p w14:paraId="13AFD483">
      <w:pPr>
        <w:pStyle w:val="3"/>
      </w:pPr>
      <w:r>
        <w:rPr>
          <w:rFonts w:hint="eastAsia"/>
        </w:rPr>
        <w:t>本次招募及性能验证</w:t>
      </w:r>
      <w:r>
        <w:rPr>
          <w:rFonts w:hint="eastAsia"/>
          <w:b/>
          <w:bCs/>
        </w:rPr>
        <w:t>不等同于采购承诺或最终采购结果</w:t>
      </w:r>
      <w:r>
        <w:rPr>
          <w:rFonts w:hint="eastAsia"/>
        </w:rPr>
        <w:t>。后续如涉及试剂、耗材或相关产品采购，将按照医院相关管理制度及采购程序执行。</w:t>
      </w:r>
    </w:p>
    <w:bookmarkEnd w:id="12"/>
    <w:p w14:paraId="4CA49867">
      <w:pPr>
        <w:pStyle w:val="4"/>
      </w:pPr>
      <w:bookmarkStart w:id="13" w:name="九报名时间及方式"/>
      <w:r>
        <w:rPr>
          <w:rFonts w:hint="eastAsia"/>
        </w:rPr>
        <w:t>九、报名时间及方式</w:t>
      </w:r>
    </w:p>
    <w:p w14:paraId="37F72279">
      <w:pPr>
        <w:pStyle w:val="23"/>
      </w:pPr>
      <w:r>
        <w:rPr>
          <w:rFonts w:hint="eastAsia"/>
          <w:b/>
          <w:bCs/>
        </w:rPr>
        <w:t>报名时间：</w:t>
      </w:r>
      <w:r>
        <w:rPr>
          <w:rFonts w:hint="eastAsia"/>
        </w:rPr>
        <w:t>自公告发布之日起至</w:t>
      </w:r>
      <w:r>
        <w:rPr>
          <w:rFonts w:hint="eastAsia"/>
          <w:u w:val="single"/>
        </w:rPr>
        <w:t>_</w:t>
      </w:r>
      <w:r>
        <w:rPr>
          <w:rFonts w:hint="eastAsia"/>
          <w:u w:val="single"/>
          <w:lang w:val="en-US" w:eastAsia="zh-CN"/>
        </w:rPr>
        <w:t>2026</w:t>
      </w:r>
      <w:r>
        <w:rPr>
          <w:rFonts w:hint="eastAsia"/>
        </w:rPr>
        <w:t>年</w:t>
      </w:r>
      <w:r>
        <w:rPr>
          <w:rFonts w:hint="eastAsia"/>
          <w:lang w:val="en-US" w:eastAsia="zh-CN"/>
        </w:rPr>
        <w:t>8</w:t>
      </w:r>
      <w:r>
        <w:rPr>
          <w:rFonts w:hint="eastAsia"/>
        </w:rPr>
        <w:t>_月_</w:t>
      </w:r>
      <w:r>
        <w:rPr>
          <w:rFonts w:hint="eastAsia"/>
          <w:u w:val="single"/>
          <w:lang w:val="en-US" w:eastAsia="zh-CN"/>
        </w:rPr>
        <w:t>27</w:t>
      </w:r>
      <w:r>
        <w:rPr>
          <w:rFonts w:hint="eastAsia"/>
        </w:rPr>
        <w:t>日止。</w:t>
      </w:r>
      <w:bookmarkStart w:id="15" w:name="_GoBack"/>
      <w:bookmarkEnd w:id="15"/>
    </w:p>
    <w:p w14:paraId="77F21195">
      <w:pPr>
        <w:pStyle w:val="3"/>
        <w:rPr>
          <w:rFonts w:hint="eastAsia"/>
        </w:rPr>
      </w:pPr>
      <w:r>
        <w:rPr>
          <w:rFonts w:hint="eastAsia"/>
          <w:b/>
          <w:bCs/>
        </w:rPr>
        <w:t>报名方式：</w:t>
      </w:r>
      <w:r>
        <w:rPr>
          <w:rFonts w:hint="eastAsia"/>
        </w:rPr>
        <w:t>兹邀请符合要求的供应商将相关资料加盖鲜章并密封，现场或邮寄至广元市利州区蜀门北路一段45号（原凤凰酒店）7楼医学装备部708室。（电子文档随纸质资料一起递交）。</w:t>
      </w:r>
    </w:p>
    <w:p w14:paraId="32A8B75F">
      <w:pPr>
        <w:pStyle w:val="3"/>
        <w:rPr>
          <w:rFonts w:hint="default" w:eastAsiaTheme="minorEastAsia"/>
          <w:lang w:val="en-US" w:eastAsia="zh-CN"/>
        </w:rPr>
      </w:pPr>
      <w:r>
        <w:rPr>
          <w:rFonts w:hint="eastAsia"/>
          <w:lang w:val="en-US" w:eastAsia="zh-CN"/>
        </w:rPr>
        <w:t>医学装备部</w:t>
      </w:r>
      <w:r>
        <w:rPr>
          <w:rFonts w:hint="eastAsia"/>
        </w:rPr>
        <w:t>联系人：吴老师 李老师</w:t>
      </w:r>
      <w:r>
        <w:rPr>
          <w:rFonts w:hint="eastAsia"/>
          <w:lang w:val="en-US" w:eastAsia="zh-CN"/>
        </w:rPr>
        <w:t xml:space="preserve">        </w:t>
      </w:r>
      <w:r>
        <w:rPr>
          <w:rFonts w:hint="eastAsia"/>
        </w:rPr>
        <w:t>0839-3264861</w:t>
      </w:r>
      <w:r>
        <w:br w:type="textWrapping"/>
      </w:r>
      <w:r>
        <w:rPr>
          <w:rFonts w:hint="eastAsia"/>
          <w:lang w:val="en-US" w:eastAsia="zh-CN"/>
        </w:rPr>
        <w:t xml:space="preserve">精准医学中心联系人：梁老师                </w:t>
      </w:r>
      <w:r>
        <w:rPr>
          <w:rFonts w:hint="eastAsia"/>
          <w:b/>
          <w:bCs/>
        </w:rPr>
        <w:t>联系电话：</w:t>
      </w:r>
      <w:r>
        <w:rPr>
          <w:rFonts w:hint="eastAsia"/>
          <w:lang w:val="en-US" w:eastAsia="zh-CN"/>
        </w:rPr>
        <w:t>18886685739</w:t>
      </w:r>
    </w:p>
    <w:p w14:paraId="407CCD03">
      <w:pPr>
        <w:pStyle w:val="3"/>
      </w:pPr>
      <w:r>
        <w:rPr>
          <w:rFonts w:hint="eastAsia"/>
        </w:rPr>
        <w:t>报名材料请注明：</w:t>
      </w:r>
    </w:p>
    <w:p w14:paraId="3B271B5F">
      <w:pPr>
        <w:pStyle w:val="3"/>
      </w:pPr>
      <w:r>
        <w:rPr>
          <w:rFonts w:hint="eastAsia"/>
          <w:b/>
          <w:bCs/>
        </w:rPr>
        <w:t>“精准医学中心质谱检测项目性能验证报名材料—项目名称—厂家名称”</w:t>
      </w:r>
    </w:p>
    <w:bookmarkEnd w:id="13"/>
    <w:p w14:paraId="4DBF28B5">
      <w:pPr>
        <w:pStyle w:val="4"/>
      </w:pPr>
      <w:bookmarkStart w:id="14" w:name="十其他说明"/>
      <w:r>
        <w:rPr>
          <w:rFonts w:hint="eastAsia"/>
        </w:rPr>
        <w:t>十、其他说明</w:t>
      </w:r>
    </w:p>
    <w:p w14:paraId="6B59D105">
      <w:pPr>
        <w:pStyle w:val="24"/>
        <w:numPr>
          <w:ilvl w:val="0"/>
          <w:numId w:val="7"/>
        </w:numPr>
      </w:pPr>
      <w:r>
        <w:rPr>
          <w:rFonts w:hint="eastAsia"/>
        </w:rPr>
        <w:t>报名单位应对所提供资料真实性、合法性负责；</w:t>
      </w:r>
    </w:p>
    <w:p w14:paraId="614325B5">
      <w:pPr>
        <w:pStyle w:val="24"/>
        <w:numPr>
          <w:ilvl w:val="0"/>
          <w:numId w:val="7"/>
        </w:numPr>
      </w:pPr>
      <w:r>
        <w:rPr>
          <w:rFonts w:hint="eastAsia"/>
        </w:rPr>
        <w:t>性能验证工作须服从医院及精准医学中心统一安排，不得影响实验室正常工作；</w:t>
      </w:r>
    </w:p>
    <w:p w14:paraId="0B4CCE45">
      <w:pPr>
        <w:pStyle w:val="24"/>
        <w:numPr>
          <w:ilvl w:val="0"/>
          <w:numId w:val="7"/>
        </w:numPr>
      </w:pPr>
      <w:r>
        <w:rPr>
          <w:rFonts w:hint="eastAsia"/>
        </w:rPr>
        <w:t>未经医院书面许可，参与单位不得擅自使用医院名称、标识、实验数据及验证结果进行商业宣传；</w:t>
      </w:r>
    </w:p>
    <w:p w14:paraId="1C88C265">
      <w:pPr>
        <w:pStyle w:val="24"/>
        <w:numPr>
          <w:ilvl w:val="0"/>
          <w:numId w:val="7"/>
        </w:numPr>
      </w:pPr>
      <w:r>
        <w:rPr>
          <w:rFonts w:hint="eastAsia"/>
        </w:rPr>
        <w:t>涉及患者样本或临床数据的，应严格遵守医院伦理、隐私保护、生物安全及数据安全相关规定；</w:t>
      </w:r>
    </w:p>
    <w:p w14:paraId="469BEFE8">
      <w:pPr>
        <w:pStyle w:val="24"/>
        <w:numPr>
          <w:ilvl w:val="0"/>
          <w:numId w:val="7"/>
        </w:numPr>
      </w:pPr>
      <w:r>
        <w:rPr>
          <w:rFonts w:hint="eastAsia"/>
        </w:rPr>
        <w:t>医院有权根据项目实际情况对验证方案、验证进度及评价要求进行调整；</w:t>
      </w:r>
    </w:p>
    <w:p w14:paraId="2980E508">
      <w:pPr>
        <w:pStyle w:val="24"/>
        <w:numPr>
          <w:ilvl w:val="0"/>
          <w:numId w:val="7"/>
        </w:numPr>
      </w:pPr>
      <w:r>
        <w:rPr>
          <w:rFonts w:hint="eastAsia"/>
        </w:rPr>
        <w:t>本公告未尽事宜，由医院精准医学中心负责解释。</w:t>
      </w:r>
    </w:p>
    <w:p w14:paraId="4193EBDD">
      <w:pPr>
        <w:pStyle w:val="23"/>
      </w:pPr>
      <w:r>
        <w:rPr>
          <w:rFonts w:hint="eastAsia"/>
        </w:rPr>
        <w:t>特此公告。</w:t>
      </w:r>
    </w:p>
    <w:p w14:paraId="702522DA">
      <w:pPr>
        <w:pStyle w:val="3"/>
      </w:pPr>
    </w:p>
    <w:bookmarkEnd w:id="0"/>
    <w:bookmarkEnd w:id="14"/>
    <w:sectPr>
      <w:footnotePr>
        <w:numRestart w:val="eachSect"/>
      </w:footnotePr>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Segoe UI"/>
    <w:panose1 w:val="020B0004020202020204"/>
    <w:charset w:val="00"/>
    <w:family w:val="swiss"/>
    <w:pitch w:val="default"/>
    <w:sig w:usb0="00000000" w:usb1="00000000" w:usb2="00000000" w:usb3="00000000" w:csb0="0000019F" w:csb1="00000000"/>
  </w:font>
  <w:font w:name="等线">
    <w:panose1 w:val="02010600030101010101"/>
    <w:charset w:val="86"/>
    <w:family w:val="auto"/>
    <w:pitch w:val="default"/>
    <w:sig w:usb0="A00002BF" w:usb1="38CF7CFA" w:usb2="00000016" w:usb3="00000000" w:csb0="0004000F" w:csb1="00000000"/>
  </w:font>
  <w:font w:name="Aptos Display">
    <w:altName w:val="Segoe UI Variable Display"/>
    <w:panose1 w:val="020B0004020202020204"/>
    <w:charset w:val="00"/>
    <w:family w:val="swiss"/>
    <w:pitch w:val="default"/>
    <w:sig w:usb0="00000000" w:usb1="00000000" w:usb2="00000000" w:usb3="00000000" w:csb0="0000019F" w:csb1="00000000"/>
  </w:font>
  <w:font w:name="等线 Light">
    <w:panose1 w:val="02010600030101010101"/>
    <w:charset w:val="86"/>
    <w:family w:val="auto"/>
    <w:pitch w:val="default"/>
    <w:sig w:usb0="A00002BF" w:usb1="38CF7CFA" w:usb2="00000016" w:usb3="00000000" w:csb0="0004000F" w:csb1="00000000"/>
  </w:font>
  <w:font w:name="Consolas">
    <w:panose1 w:val="020B0609020204030204"/>
    <w:charset w:val="00"/>
    <w:family w:val="auto"/>
    <w:pitch w:val="default"/>
    <w:sig w:usb0="E00006FF" w:usb1="0000FCFF" w:usb2="00000001" w:usb3="00000000" w:csb0="6000019F" w:csb1="DFD7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egoe UI Variable Display">
    <w:panose1 w:val="00000000000000000000"/>
    <w:charset w:val="00"/>
    <w:family w:val="auto"/>
    <w:pitch w:val="default"/>
    <w:sig w:usb0="A00002FF" w:usb1="0000000B" w:usb2="00000000" w:usb3="00000000" w:csb0="2000019F" w:csb1="00000000"/>
  </w:font>
  <w:font w:name="Segoe UI">
    <w:panose1 w:val="020B0502040204020203"/>
    <w:charset w:val="00"/>
    <w:family w:val="auto"/>
    <w:pitch w:val="default"/>
    <w:sig w:usb0="E4002EFF" w:usb1="C000E47F"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A991"/>
    <w:multiLevelType w:val="multilevel"/>
    <w:tmpl w:val="0000A991"/>
    <w:lvl w:ilvl="0" w:tentative="0">
      <w:start w:val="0"/>
      <w:numFmt w:val="bullet"/>
      <w:lvlText w:val=""/>
      <w:lvlJc w:val="left"/>
      <w:pPr>
        <w:ind w:left="720" w:hanging="360"/>
      </w:pPr>
      <w:rPr>
        <w:rFonts w:hint="default" w:ascii="Symbol" w:hAnsi="Symbol" w:cs="Symbol"/>
      </w:rPr>
    </w:lvl>
    <w:lvl w:ilvl="1" w:tentative="0">
      <w:start w:val="0"/>
      <w:numFmt w:val="bullet"/>
      <w:lvlText w:val="o"/>
      <w:lvlJc w:val="left"/>
      <w:pPr>
        <w:ind w:left="1440" w:hanging="360"/>
      </w:pPr>
      <w:rPr>
        <w:rFonts w:hint="default" w:ascii="Courier New" w:hAnsi="Courier New" w:cs="Courier New"/>
      </w:rPr>
    </w:lvl>
    <w:lvl w:ilvl="2" w:tentative="0">
      <w:start w:val="0"/>
      <w:numFmt w:val="bullet"/>
      <w:lvlText w:val=""/>
      <w:lvlJc w:val="left"/>
      <w:pPr>
        <w:ind w:left="2160" w:hanging="360"/>
      </w:pPr>
      <w:rPr>
        <w:rFonts w:hint="default" w:ascii="Wingdings" w:hAnsi="Wingdings" w:cs="Wingdings"/>
      </w:rPr>
    </w:lvl>
    <w:lvl w:ilvl="3" w:tentative="0">
      <w:start w:val="0"/>
      <w:numFmt w:val="bullet"/>
      <w:lvlText w:val=""/>
      <w:lvlJc w:val="left"/>
      <w:pPr>
        <w:ind w:left="2880" w:hanging="360"/>
      </w:pPr>
      <w:rPr>
        <w:rFonts w:hint="default" w:ascii="Symbol" w:hAnsi="Symbol" w:cs="Symbol"/>
      </w:rPr>
    </w:lvl>
    <w:lvl w:ilvl="4" w:tentative="0">
      <w:start w:val="0"/>
      <w:numFmt w:val="bullet"/>
      <w:lvlText w:val="o"/>
      <w:lvlJc w:val="left"/>
      <w:pPr>
        <w:ind w:left="3600" w:hanging="360"/>
      </w:pPr>
      <w:rPr>
        <w:rFonts w:hint="default" w:ascii="Courier New" w:hAnsi="Courier New" w:cs="Courier New"/>
      </w:rPr>
    </w:lvl>
    <w:lvl w:ilvl="5" w:tentative="0">
      <w:start w:val="0"/>
      <w:numFmt w:val="bullet"/>
      <w:lvlText w:val=""/>
      <w:lvlJc w:val="left"/>
      <w:pPr>
        <w:ind w:left="4320" w:hanging="360"/>
      </w:pPr>
      <w:rPr>
        <w:rFonts w:hint="default" w:ascii="Wingdings" w:hAnsi="Wingdings" w:cs="Wingdings"/>
      </w:rPr>
    </w:lvl>
    <w:lvl w:ilvl="6" w:tentative="0">
      <w:start w:val="0"/>
      <w:numFmt w:val="bullet"/>
      <w:lvlText w:val=""/>
      <w:lvlJc w:val="left"/>
      <w:pPr>
        <w:ind w:left="5040" w:hanging="360"/>
      </w:pPr>
      <w:rPr>
        <w:rFonts w:hint="default" w:ascii="Symbol" w:hAnsi="Symbol" w:cs="Symbol"/>
      </w:rPr>
    </w:lvl>
    <w:lvl w:ilvl="7" w:tentative="0">
      <w:start w:val="0"/>
      <w:numFmt w:val="bullet"/>
      <w:lvlText w:val="o"/>
      <w:lvlJc w:val="left"/>
      <w:pPr>
        <w:ind w:left="5760" w:hanging="360"/>
      </w:pPr>
      <w:rPr>
        <w:rFonts w:hint="default" w:ascii="Courier New" w:hAnsi="Courier New" w:cs="Courier New"/>
      </w:rPr>
    </w:lvl>
    <w:lvl w:ilvl="8" w:tentative="0">
      <w:start w:val="0"/>
      <w:numFmt w:val="bullet"/>
      <w:lvlText w:val=""/>
      <w:lvlJc w:val="left"/>
      <w:pPr>
        <w:ind w:left="6480" w:hanging="360"/>
      </w:pPr>
      <w:rPr>
        <w:rFonts w:hint="default" w:ascii="Wingdings" w:hAnsi="Wingdings" w:cs="Wingdings"/>
      </w:rPr>
    </w:lvl>
  </w:abstractNum>
  <w:abstractNum w:abstractNumId="1">
    <w:nsid w:val="00A99411"/>
    <w:multiLevelType w:val="multilevel"/>
    <w:tmpl w:val="00A99411"/>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1"/>
      <w:numFmt w:val="decimal"/>
      <w:lvlText w:val="%3."/>
      <w:lvlJc w:val="left"/>
      <w:pPr>
        <w:ind w:left="2160" w:hanging="360"/>
      </w:pPr>
    </w:lvl>
    <w:lvl w:ilvl="3" w:tentative="0">
      <w:start w:val="1"/>
      <w:numFmt w:val="decimal"/>
      <w:lvlText w:val="%4."/>
      <w:lvlJc w:val="left"/>
      <w:pPr>
        <w:ind w:left="2880" w:hanging="360"/>
      </w:pPr>
    </w:lvl>
    <w:lvl w:ilvl="4" w:tentative="0">
      <w:start w:val="1"/>
      <w:numFmt w:val="decimal"/>
      <w:lvlText w:val="%5."/>
      <w:lvlJc w:val="left"/>
      <w:pPr>
        <w:ind w:left="3600" w:hanging="360"/>
      </w:pPr>
    </w:lvl>
    <w:lvl w:ilvl="5" w:tentative="0">
      <w:start w:val="1"/>
      <w:numFmt w:val="decimal"/>
      <w:lvlText w:val="%6."/>
      <w:lvlJc w:val="left"/>
      <w:pPr>
        <w:ind w:left="4320" w:hanging="360"/>
      </w:pPr>
    </w:lvl>
    <w:lvl w:ilvl="6" w:tentative="0">
      <w:start w:val="1"/>
      <w:numFmt w:val="decimal"/>
      <w:lvlText w:val="%7."/>
      <w:lvlJc w:val="left"/>
      <w:pPr>
        <w:ind w:left="5040" w:hanging="360"/>
      </w:pPr>
    </w:lvl>
    <w:lvl w:ilvl="7" w:tentative="0">
      <w:start w:val="1"/>
      <w:numFmt w:val="decimal"/>
      <w:lvlText w:val="%8."/>
      <w:lvlJc w:val="left"/>
      <w:pPr>
        <w:ind w:left="5760" w:hanging="360"/>
      </w:pPr>
    </w:lvl>
    <w:lvl w:ilvl="8" w:tentative="0">
      <w:start w:val="1"/>
      <w:numFmt w:val="decimal"/>
      <w:lvlText w:val="%9."/>
      <w:lvlJc w:val="left"/>
      <w:pPr>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NotTrackMoves/>
  <w:documentProtection w:enforcement="0"/>
  <w:defaultTabStop w:val="720"/>
  <w:drawingGridHorizontalSpacing w:val="360"/>
  <w:drawingGridVerticalSpacing w:val="360"/>
  <w:displayHorizontalDrawingGridEvery w:val="1"/>
  <w:displayVerticalDrawingGridEvery w:val="1"/>
  <w:noPunctuationKerning w:val="1"/>
  <w:characterSpacingControl w:val="doNotCompress"/>
  <w:footnotePr>
    <w:numRestart w:val="eachSect"/>
    <w:footnote w:id="0"/>
    <w:footnote w:id="1"/>
  </w:foot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144B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EastAsia" w:cstheme="minorBidi"/>
      <w:sz w:val="24"/>
      <w:szCs w:val="24"/>
      <w:lang w:val="en-US" w:eastAsia="zh-CN" w:bidi="ar-SA"/>
    </w:rPr>
  </w:style>
  <w:style w:type="paragraph" w:styleId="2">
    <w:name w:val="heading 1"/>
    <w:basedOn w:val="1"/>
    <w:next w:val="3"/>
    <w:link w:val="31"/>
    <w:qFormat/>
    <w:uiPriority w:val="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4">
    <w:name w:val="heading 2"/>
    <w:basedOn w:val="1"/>
    <w:next w:val="3"/>
    <w:link w:val="32"/>
    <w:semiHidden/>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5">
    <w:name w:val="heading 3"/>
    <w:basedOn w:val="1"/>
    <w:next w:val="3"/>
    <w:link w:val="33"/>
    <w:semiHidden/>
    <w:unhideWhenUsed/>
    <w:qFormat/>
    <w:uiPriority w:val="9"/>
    <w:pPr>
      <w:keepNext/>
      <w:keepLines/>
      <w:spacing w:before="160" w:after="80"/>
      <w:outlineLvl w:val="2"/>
    </w:pPr>
    <w:rPr>
      <w:rFonts w:eastAsiaTheme="majorEastAsia" w:cstheme="majorBidi"/>
      <w:color w:val="0F4761" w:themeColor="accent1" w:themeShade="BF"/>
      <w:sz w:val="28"/>
      <w:szCs w:val="28"/>
    </w:rPr>
  </w:style>
  <w:style w:type="paragraph" w:styleId="6">
    <w:name w:val="heading 4"/>
    <w:basedOn w:val="1"/>
    <w:next w:val="3"/>
    <w:link w:val="34"/>
    <w:semiHidden/>
    <w:unhideWhenUsed/>
    <w:qFormat/>
    <w:uiPriority w:val="9"/>
    <w:pPr>
      <w:keepNext/>
      <w:keepLines/>
      <w:spacing w:before="80" w:after="40"/>
      <w:outlineLvl w:val="3"/>
    </w:pPr>
    <w:rPr>
      <w:rFonts w:eastAsiaTheme="majorEastAsia" w:cstheme="majorBidi"/>
      <w:i/>
      <w:iCs/>
      <w:color w:val="0F4761" w:themeColor="accent1" w:themeShade="BF"/>
    </w:rPr>
  </w:style>
  <w:style w:type="paragraph" w:styleId="7">
    <w:name w:val="heading 5"/>
    <w:basedOn w:val="1"/>
    <w:next w:val="3"/>
    <w:link w:val="35"/>
    <w:semiHidden/>
    <w:unhideWhenUsed/>
    <w:qFormat/>
    <w:uiPriority w:val="9"/>
    <w:pPr>
      <w:keepNext/>
      <w:keepLines/>
      <w:spacing w:before="80" w:after="40"/>
      <w:outlineLvl w:val="4"/>
    </w:pPr>
    <w:rPr>
      <w:rFonts w:eastAsiaTheme="majorEastAsia" w:cstheme="majorBidi"/>
      <w:color w:val="0F4761" w:themeColor="accent1" w:themeShade="BF"/>
    </w:rPr>
  </w:style>
  <w:style w:type="paragraph" w:styleId="8">
    <w:name w:val="heading 6"/>
    <w:basedOn w:val="1"/>
    <w:next w:val="3"/>
    <w:link w:val="36"/>
    <w:semiHidden/>
    <w:unhideWhenUsed/>
    <w:qFormat/>
    <w:uiPriority w:val="9"/>
    <w:pPr>
      <w:keepNext/>
      <w:keepLines/>
      <w:spacing w:before="40" w:after="0"/>
      <w:outlineLvl w:val="5"/>
    </w:pPr>
    <w:rPr>
      <w:rFonts w:eastAsiaTheme="majorEastAsia" w:cstheme="majorBidi"/>
      <w:i/>
      <w:iCs/>
      <w:color w:val="585858" w:themeColor="text1" w:themeTint="A6"/>
    </w:rPr>
  </w:style>
  <w:style w:type="paragraph" w:styleId="9">
    <w:name w:val="heading 7"/>
    <w:basedOn w:val="1"/>
    <w:next w:val="3"/>
    <w:link w:val="37"/>
    <w:semiHidden/>
    <w:unhideWhenUsed/>
    <w:qFormat/>
    <w:uiPriority w:val="9"/>
    <w:pPr>
      <w:keepNext/>
      <w:keepLines/>
      <w:spacing w:before="40" w:after="0"/>
      <w:outlineLvl w:val="6"/>
    </w:pPr>
    <w:rPr>
      <w:rFonts w:eastAsiaTheme="majorEastAsia" w:cstheme="majorBidi"/>
      <w:color w:val="585858" w:themeColor="text1" w:themeTint="A6"/>
    </w:rPr>
  </w:style>
  <w:style w:type="paragraph" w:styleId="10">
    <w:name w:val="heading 8"/>
    <w:basedOn w:val="1"/>
    <w:next w:val="3"/>
    <w:link w:val="38"/>
    <w:semiHidden/>
    <w:unhideWhenUsed/>
    <w:qFormat/>
    <w:uiPriority w:val="9"/>
    <w:pPr>
      <w:keepNext/>
      <w:keepLines/>
      <w:spacing w:after="0"/>
      <w:outlineLvl w:val="7"/>
    </w:pPr>
    <w:rPr>
      <w:rFonts w:eastAsiaTheme="majorEastAsia" w:cstheme="majorBidi"/>
      <w:i/>
      <w:iCs/>
      <w:color w:val="262626" w:themeColor="text1" w:themeTint="D8"/>
    </w:rPr>
  </w:style>
  <w:style w:type="paragraph" w:styleId="11">
    <w:name w:val="heading 9"/>
    <w:basedOn w:val="1"/>
    <w:next w:val="3"/>
    <w:link w:val="39"/>
    <w:semiHidden/>
    <w:unhideWhenUsed/>
    <w:qFormat/>
    <w:uiPriority w:val="9"/>
    <w:pPr>
      <w:keepNext/>
      <w:keepLines/>
      <w:spacing w:after="0"/>
      <w:outlineLvl w:val="8"/>
    </w:pPr>
    <w:rPr>
      <w:rFonts w:eastAsiaTheme="majorEastAsia" w:cstheme="majorBidi"/>
      <w:color w:val="262626" w:themeColor="text1" w:themeTint="D8"/>
    </w:rPr>
  </w:style>
  <w:style w:type="character" w:default="1" w:styleId="19">
    <w:name w:val="Default Paragraph Font"/>
    <w:semiHidden/>
    <w:unhideWhenUsed/>
    <w:uiPriority w:val="0"/>
  </w:style>
  <w:style w:type="table" w:default="1" w:styleId="18">
    <w:name w:val="Normal Table"/>
    <w:uiPriority w:val="0"/>
    <w:tblPr>
      <w:tblCellMar>
        <w:top w:w="0" w:type="dxa"/>
        <w:left w:w="108" w:type="dxa"/>
        <w:bottom w:w="0" w:type="dxa"/>
        <w:right w:w="108" w:type="dxa"/>
      </w:tblCellMar>
    </w:tblPr>
  </w:style>
  <w:style w:type="paragraph" w:styleId="3">
    <w:name w:val="Body Text"/>
    <w:basedOn w:val="1"/>
    <w:link w:val="21"/>
    <w:qFormat/>
    <w:uiPriority w:val="0"/>
    <w:pPr>
      <w:spacing w:before="180" w:after="180"/>
    </w:pPr>
  </w:style>
  <w:style w:type="paragraph" w:styleId="12">
    <w:name w:val="caption"/>
    <w:basedOn w:val="1"/>
    <w:uiPriority w:val="0"/>
    <w:pPr>
      <w:spacing w:before="0" w:after="120"/>
    </w:pPr>
    <w:rPr>
      <w:i/>
    </w:rPr>
  </w:style>
  <w:style w:type="paragraph" w:styleId="13">
    <w:name w:val="Block Text"/>
    <w:basedOn w:val="3"/>
    <w:next w:val="3"/>
    <w:unhideWhenUsed/>
    <w:qFormat/>
    <w:uiPriority w:val="9"/>
    <w:pPr>
      <w:spacing w:before="100" w:after="100"/>
      <w:ind w:left="480" w:right="480" w:firstLine="0"/>
    </w:pPr>
  </w:style>
  <w:style w:type="paragraph" w:styleId="14">
    <w:name w:val="Date"/>
    <w:basedOn w:val="15"/>
    <w:next w:val="3"/>
    <w:qFormat/>
    <w:uiPriority w:val="0"/>
    <w:pPr>
      <w:keepNext/>
      <w:keepLines/>
    </w:pPr>
    <w:rPr>
      <w:sz w:val="24"/>
      <w:szCs w:val="24"/>
    </w:rPr>
  </w:style>
  <w:style w:type="paragraph" w:styleId="15">
    <w:name w:val="Title"/>
    <w:basedOn w:val="1"/>
    <w:next w:val="3"/>
    <w:link w:val="25"/>
    <w:qFormat/>
    <w:uiPriority w:val="10"/>
    <w:pPr>
      <w:spacing w:after="80" w:line="240" w:lineRule="auto"/>
      <w:contextualSpacing/>
      <w:jc w:val="center"/>
    </w:pPr>
    <w:rPr>
      <w:rFonts w:asciiTheme="majorHAnsi" w:hAnsiTheme="majorHAnsi" w:eastAsiaTheme="majorEastAsia" w:cstheme="majorBidi"/>
      <w:sz w:val="56"/>
      <w:szCs w:val="56"/>
    </w:rPr>
  </w:style>
  <w:style w:type="paragraph" w:styleId="16">
    <w:name w:val="Subtitle"/>
    <w:basedOn w:val="15"/>
    <w:next w:val="3"/>
    <w:link w:val="26"/>
    <w:qFormat/>
    <w:uiPriority w:val="11"/>
    <w:rPr>
      <w:rFonts w:eastAsiaTheme="majorEastAsia" w:cstheme="majorBidi"/>
      <w:spacing w:val="15"/>
      <w:sz w:val="28"/>
      <w:szCs w:val="28"/>
    </w:rPr>
  </w:style>
  <w:style w:type="paragraph" w:styleId="17">
    <w:name w:val="footnote text"/>
    <w:basedOn w:val="1"/>
    <w:unhideWhenUsed/>
    <w:qFormat/>
    <w:uiPriority w:val="9"/>
  </w:style>
  <w:style w:type="character" w:styleId="20">
    <w:name w:val="Hyperlink"/>
    <w:basedOn w:val="21"/>
    <w:uiPriority w:val="0"/>
    <w:rPr>
      <w:color w:val="156082" w:themeColor="accent1"/>
    </w:rPr>
  </w:style>
  <w:style w:type="character" w:customStyle="1" w:styleId="21">
    <w:name w:val="Body Text Char"/>
    <w:basedOn w:val="19"/>
    <w:link w:val="3"/>
    <w:uiPriority w:val="0"/>
  </w:style>
  <w:style w:type="character" w:styleId="22">
    <w:name w:val="footnote reference"/>
    <w:basedOn w:val="21"/>
    <w:uiPriority w:val="0"/>
    <w:rPr>
      <w:vertAlign w:val="superscript"/>
    </w:rPr>
  </w:style>
  <w:style w:type="paragraph" w:customStyle="1" w:styleId="23">
    <w:name w:val="First Paragraph"/>
    <w:basedOn w:val="3"/>
    <w:next w:val="3"/>
    <w:qFormat/>
    <w:uiPriority w:val="0"/>
  </w:style>
  <w:style w:type="paragraph" w:customStyle="1" w:styleId="24">
    <w:name w:val="Compact"/>
    <w:basedOn w:val="3"/>
    <w:qFormat/>
    <w:uiPriority w:val="0"/>
    <w:pPr>
      <w:spacing w:before="36" w:after="36"/>
    </w:pPr>
  </w:style>
  <w:style w:type="character" w:customStyle="1" w:styleId="25">
    <w:name w:val="Title Char"/>
    <w:basedOn w:val="19"/>
    <w:link w:val="15"/>
    <w:uiPriority w:val="10"/>
    <w:rPr>
      <w:rFonts w:asciiTheme="majorHAnsi" w:hAnsiTheme="majorHAnsi" w:eastAsiaTheme="majorEastAsia" w:cstheme="majorBidi"/>
      <w:sz w:val="56"/>
      <w:szCs w:val="56"/>
    </w:rPr>
  </w:style>
  <w:style w:type="character" w:customStyle="1" w:styleId="26">
    <w:name w:val="Subtitle Char"/>
    <w:basedOn w:val="19"/>
    <w:link w:val="16"/>
    <w:qFormat/>
    <w:uiPriority w:val="11"/>
    <w:rPr>
      <w:rFonts w:eastAsiaTheme="majorEastAsia" w:cstheme="majorBidi"/>
      <w:color w:val="585858" w:themeColor="text1" w:themeTint="A6"/>
      <w:spacing w:val="15"/>
      <w:sz w:val="28"/>
      <w:szCs w:val="28"/>
    </w:rPr>
  </w:style>
  <w:style w:type="paragraph" w:customStyle="1" w:styleId="27">
    <w:name w:val="Author"/>
    <w:basedOn w:val="15"/>
    <w:next w:val="3"/>
    <w:qFormat/>
    <w:uiPriority w:val="0"/>
    <w:pPr>
      <w:keepNext/>
      <w:keepLines/>
    </w:pPr>
    <w:rPr>
      <w:sz w:val="24"/>
      <w:szCs w:val="24"/>
    </w:rPr>
  </w:style>
  <w:style w:type="paragraph" w:customStyle="1" w:styleId="28">
    <w:name w:val="Abstract Title"/>
    <w:basedOn w:val="1"/>
    <w:next w:val="29"/>
    <w:qFormat/>
    <w:uiPriority w:val="0"/>
    <w:pPr>
      <w:keepNext/>
      <w:keepLines/>
      <w:spacing w:before="300" w:after="0"/>
      <w:jc w:val="center"/>
    </w:pPr>
    <w:rPr>
      <w:b/>
      <w:sz w:val="20"/>
      <w:szCs w:val="20"/>
    </w:rPr>
  </w:style>
  <w:style w:type="paragraph" w:customStyle="1" w:styleId="29">
    <w:name w:val="Abstract"/>
    <w:basedOn w:val="1"/>
    <w:next w:val="3"/>
    <w:qFormat/>
    <w:uiPriority w:val="0"/>
    <w:pPr>
      <w:keepNext/>
      <w:keepLines/>
      <w:spacing w:before="100" w:after="300"/>
    </w:pPr>
    <w:rPr>
      <w:sz w:val="20"/>
      <w:szCs w:val="20"/>
    </w:rPr>
  </w:style>
  <w:style w:type="paragraph" w:customStyle="1" w:styleId="30">
    <w:name w:val="Bibliography"/>
    <w:basedOn w:val="1"/>
    <w:qFormat/>
    <w:uiPriority w:val="0"/>
  </w:style>
  <w:style w:type="character" w:customStyle="1" w:styleId="31">
    <w:name w:val="Heading 1 Char"/>
    <w:basedOn w:val="19"/>
    <w:link w:val="2"/>
    <w:uiPriority w:val="9"/>
    <w:rPr>
      <w:rFonts w:asciiTheme="majorHAnsi" w:hAnsiTheme="majorHAnsi" w:eastAsiaTheme="majorEastAsia" w:cstheme="majorBidi"/>
      <w:color w:val="0F4761" w:themeColor="accent1" w:themeShade="BF"/>
      <w:sz w:val="40"/>
      <w:szCs w:val="40"/>
    </w:rPr>
  </w:style>
  <w:style w:type="character" w:customStyle="1" w:styleId="32">
    <w:name w:val="Heading 2 Char"/>
    <w:basedOn w:val="19"/>
    <w:link w:val="4"/>
    <w:semiHidden/>
    <w:uiPriority w:val="9"/>
    <w:rPr>
      <w:rFonts w:asciiTheme="majorHAnsi" w:hAnsiTheme="majorHAnsi" w:eastAsiaTheme="majorEastAsia" w:cstheme="majorBidi"/>
      <w:color w:val="0F4761" w:themeColor="accent1" w:themeShade="BF"/>
      <w:sz w:val="32"/>
      <w:szCs w:val="32"/>
    </w:rPr>
  </w:style>
  <w:style w:type="character" w:customStyle="1" w:styleId="33">
    <w:name w:val="Heading 3 Char"/>
    <w:basedOn w:val="19"/>
    <w:link w:val="5"/>
    <w:semiHidden/>
    <w:uiPriority w:val="9"/>
    <w:rPr>
      <w:rFonts w:eastAsiaTheme="majorEastAsia" w:cstheme="majorBidi"/>
      <w:color w:val="0F4761" w:themeColor="accent1" w:themeShade="BF"/>
      <w:sz w:val="28"/>
      <w:szCs w:val="28"/>
    </w:rPr>
  </w:style>
  <w:style w:type="character" w:customStyle="1" w:styleId="34">
    <w:name w:val="Heading 4 Char"/>
    <w:basedOn w:val="19"/>
    <w:link w:val="6"/>
    <w:semiHidden/>
    <w:uiPriority w:val="9"/>
    <w:rPr>
      <w:rFonts w:eastAsiaTheme="majorEastAsia" w:cstheme="majorBidi"/>
      <w:i/>
      <w:iCs/>
      <w:color w:val="0F4761" w:themeColor="accent1" w:themeShade="BF"/>
    </w:rPr>
  </w:style>
  <w:style w:type="character" w:customStyle="1" w:styleId="35">
    <w:name w:val="Heading 5 Char"/>
    <w:basedOn w:val="19"/>
    <w:link w:val="7"/>
    <w:semiHidden/>
    <w:uiPriority w:val="9"/>
    <w:rPr>
      <w:rFonts w:eastAsiaTheme="majorEastAsia" w:cstheme="majorBidi"/>
      <w:color w:val="0F4761" w:themeColor="accent1" w:themeShade="BF"/>
    </w:rPr>
  </w:style>
  <w:style w:type="character" w:customStyle="1" w:styleId="36">
    <w:name w:val="Heading 6 Char"/>
    <w:basedOn w:val="19"/>
    <w:link w:val="8"/>
    <w:semiHidden/>
    <w:qFormat/>
    <w:uiPriority w:val="9"/>
    <w:rPr>
      <w:rFonts w:eastAsiaTheme="majorEastAsia" w:cstheme="majorBidi"/>
      <w:i/>
      <w:iCs/>
      <w:color w:val="585858" w:themeColor="text1" w:themeTint="A6"/>
    </w:rPr>
  </w:style>
  <w:style w:type="character" w:customStyle="1" w:styleId="37">
    <w:name w:val="Heading 7 Char"/>
    <w:basedOn w:val="19"/>
    <w:link w:val="9"/>
    <w:semiHidden/>
    <w:uiPriority w:val="9"/>
    <w:rPr>
      <w:rFonts w:eastAsiaTheme="majorEastAsia" w:cstheme="majorBidi"/>
      <w:color w:val="585858" w:themeColor="text1" w:themeTint="A6"/>
    </w:rPr>
  </w:style>
  <w:style w:type="character" w:customStyle="1" w:styleId="38">
    <w:name w:val="Heading 8 Char"/>
    <w:basedOn w:val="19"/>
    <w:link w:val="10"/>
    <w:semiHidden/>
    <w:uiPriority w:val="9"/>
    <w:rPr>
      <w:rFonts w:eastAsiaTheme="majorEastAsia" w:cstheme="majorBidi"/>
      <w:i/>
      <w:iCs/>
      <w:color w:val="262626" w:themeColor="text1" w:themeTint="D8"/>
    </w:rPr>
  </w:style>
  <w:style w:type="character" w:customStyle="1" w:styleId="39">
    <w:name w:val="Heading 9 Char"/>
    <w:basedOn w:val="19"/>
    <w:link w:val="11"/>
    <w:semiHidden/>
    <w:uiPriority w:val="9"/>
    <w:rPr>
      <w:rFonts w:eastAsiaTheme="majorEastAsia" w:cstheme="majorBidi"/>
      <w:color w:val="262626" w:themeColor="text1" w:themeTint="D8"/>
    </w:rPr>
  </w:style>
  <w:style w:type="paragraph" w:customStyle="1" w:styleId="40">
    <w:name w:val="Footnote Block Text"/>
    <w:basedOn w:val="17"/>
    <w:next w:val="17"/>
    <w:unhideWhenUsed/>
    <w:qFormat/>
    <w:uiPriority w:val="9"/>
    <w:pPr>
      <w:spacing w:before="100" w:after="100"/>
      <w:ind w:left="480" w:right="480" w:firstLine="0"/>
    </w:pPr>
  </w:style>
  <w:style w:type="table" w:customStyle="1" w:styleId="41">
    <w:name w:val="Table"/>
    <w:semiHidden/>
    <w:unhideWhenUsed/>
    <w:qFormat/>
    <w:uiPriority w:val="0"/>
    <w:tblPr>
      <w:tblCellMar>
        <w:top w:w="0" w:type="dxa"/>
        <w:left w:w="108" w:type="dxa"/>
        <w:bottom w:w="0" w:type="dxa"/>
        <w:right w:w="108" w:type="dxa"/>
      </w:tblCellMar>
    </w:tblPr>
    <w:tblStylePr w:type="firstRow">
      <w:tcPr>
        <w:tcBorders>
          <w:bottom w:val="single" w:color="auto" w:sz="0" w:space="0"/>
        </w:tcBorders>
        <w:vAlign w:val="bottom"/>
      </w:tcPr>
    </w:tblStylePr>
  </w:style>
  <w:style w:type="paragraph" w:customStyle="1" w:styleId="42">
    <w:name w:val="Definition Term"/>
    <w:basedOn w:val="1"/>
    <w:next w:val="43"/>
    <w:uiPriority w:val="0"/>
    <w:pPr>
      <w:keepNext/>
      <w:keepLines/>
      <w:spacing w:after="0"/>
    </w:pPr>
    <w:rPr>
      <w:b/>
    </w:rPr>
  </w:style>
  <w:style w:type="paragraph" w:customStyle="1" w:styleId="43">
    <w:name w:val="Definition"/>
    <w:basedOn w:val="1"/>
    <w:uiPriority w:val="0"/>
  </w:style>
  <w:style w:type="paragraph" w:customStyle="1" w:styleId="44">
    <w:name w:val="Table Caption"/>
    <w:basedOn w:val="12"/>
    <w:uiPriority w:val="0"/>
    <w:pPr>
      <w:keepNext/>
    </w:pPr>
  </w:style>
  <w:style w:type="paragraph" w:customStyle="1" w:styleId="45">
    <w:name w:val="Image Caption"/>
    <w:basedOn w:val="12"/>
    <w:uiPriority w:val="0"/>
  </w:style>
  <w:style w:type="paragraph" w:customStyle="1" w:styleId="46">
    <w:name w:val="Figure"/>
    <w:basedOn w:val="1"/>
    <w:uiPriority w:val="0"/>
  </w:style>
  <w:style w:type="paragraph" w:customStyle="1" w:styleId="47">
    <w:name w:val="Captioned Figure"/>
    <w:basedOn w:val="46"/>
    <w:uiPriority w:val="0"/>
    <w:pPr>
      <w:keepNext/>
    </w:pPr>
  </w:style>
  <w:style w:type="character" w:customStyle="1" w:styleId="48">
    <w:name w:val="Verbatim Char"/>
    <w:basedOn w:val="21"/>
    <w:link w:val="49"/>
    <w:uiPriority w:val="0"/>
    <w:rPr>
      <w:rFonts w:ascii="Consolas" w:hAnsi="Consolas"/>
      <w:sz w:val="22"/>
    </w:rPr>
  </w:style>
  <w:style w:type="paragraph" w:customStyle="1" w:styleId="49">
    <w:name w:val="Source Code"/>
    <w:basedOn w:val="1"/>
    <w:link w:val="48"/>
    <w:uiPriority w:val="0"/>
    <w:pPr>
      <w:wordWrap w:val="0"/>
    </w:pPr>
  </w:style>
  <w:style w:type="character" w:customStyle="1" w:styleId="50">
    <w:name w:val="Section Number"/>
    <w:basedOn w:val="21"/>
    <w:uiPriority w:val="0"/>
  </w:style>
  <w:style w:type="paragraph" w:customStyle="1" w:styleId="51">
    <w:name w:val="TOC Heading"/>
    <w:basedOn w:val="2"/>
    <w:next w:val="3"/>
    <w:unhideWhenUsed/>
    <w:qFormat/>
    <w:uiPriority w:val="39"/>
    <w:pPr>
      <w:spacing w:before="240" w:line="259" w:lineRule="auto"/>
      <w:outlineLvl w:val="9"/>
    </w:pPr>
    <w:rPr>
      <w:rFonts w:asciiTheme="majorHAnsi" w:hAnsiTheme="majorHAnsi" w:eastAsiaTheme="majorEastAsia" w:cstheme="majorBidi"/>
      <w:color w:val="0F4761" w:themeColor="accent1" w:themeShade="BF"/>
    </w:rPr>
  </w:style>
  <w:style w:type="character" w:customStyle="1" w:styleId="52">
    <w:name w:val="KeywordTok"/>
    <w:basedOn w:val="48"/>
    <w:uiPriority w:val="0"/>
    <w:rPr>
      <w:b/>
      <w:color w:val="007020"/>
    </w:rPr>
  </w:style>
  <w:style w:type="character" w:customStyle="1" w:styleId="53">
    <w:name w:val="DataTypeTok"/>
    <w:basedOn w:val="48"/>
    <w:uiPriority w:val="0"/>
    <w:rPr>
      <w:color w:val="902000"/>
    </w:rPr>
  </w:style>
  <w:style w:type="character" w:customStyle="1" w:styleId="54">
    <w:name w:val="DecValTok"/>
    <w:basedOn w:val="48"/>
    <w:uiPriority w:val="0"/>
    <w:rPr>
      <w:color w:val="40A070"/>
    </w:rPr>
  </w:style>
  <w:style w:type="character" w:customStyle="1" w:styleId="55">
    <w:name w:val="BaseNTok"/>
    <w:basedOn w:val="48"/>
    <w:uiPriority w:val="0"/>
    <w:rPr>
      <w:color w:val="40A070"/>
    </w:rPr>
  </w:style>
  <w:style w:type="character" w:customStyle="1" w:styleId="56">
    <w:name w:val="FloatTok"/>
    <w:basedOn w:val="48"/>
    <w:uiPriority w:val="0"/>
    <w:rPr>
      <w:color w:val="40A070"/>
    </w:rPr>
  </w:style>
  <w:style w:type="character" w:customStyle="1" w:styleId="57">
    <w:name w:val="ConstantTok"/>
    <w:basedOn w:val="48"/>
    <w:uiPriority w:val="0"/>
    <w:rPr>
      <w:color w:val="880000"/>
    </w:rPr>
  </w:style>
  <w:style w:type="character" w:customStyle="1" w:styleId="58">
    <w:name w:val="CharTok"/>
    <w:basedOn w:val="48"/>
    <w:uiPriority w:val="0"/>
    <w:rPr>
      <w:color w:val="4070A0"/>
    </w:rPr>
  </w:style>
  <w:style w:type="character" w:customStyle="1" w:styleId="59">
    <w:name w:val="SpecialCharTok"/>
    <w:basedOn w:val="48"/>
    <w:uiPriority w:val="0"/>
    <w:rPr>
      <w:color w:val="4070A0"/>
    </w:rPr>
  </w:style>
  <w:style w:type="character" w:customStyle="1" w:styleId="60">
    <w:name w:val="StringTok"/>
    <w:basedOn w:val="48"/>
    <w:uiPriority w:val="0"/>
    <w:rPr>
      <w:color w:val="4070A0"/>
    </w:rPr>
  </w:style>
  <w:style w:type="character" w:customStyle="1" w:styleId="61">
    <w:name w:val="VerbatimStringTok"/>
    <w:basedOn w:val="48"/>
    <w:uiPriority w:val="0"/>
    <w:rPr>
      <w:color w:val="4070A0"/>
    </w:rPr>
  </w:style>
  <w:style w:type="character" w:customStyle="1" w:styleId="62">
    <w:name w:val="SpecialStringTok"/>
    <w:basedOn w:val="48"/>
    <w:uiPriority w:val="0"/>
    <w:rPr>
      <w:color w:val="BB6688"/>
    </w:rPr>
  </w:style>
  <w:style w:type="character" w:customStyle="1" w:styleId="63">
    <w:name w:val="ImportTok"/>
    <w:basedOn w:val="48"/>
    <w:uiPriority w:val="0"/>
    <w:rPr>
      <w:b/>
      <w:color w:val="008000"/>
    </w:rPr>
  </w:style>
  <w:style w:type="character" w:customStyle="1" w:styleId="64">
    <w:name w:val="CommentTok"/>
    <w:basedOn w:val="48"/>
    <w:uiPriority w:val="0"/>
    <w:rPr>
      <w:i/>
      <w:color w:val="60A0B0"/>
    </w:rPr>
  </w:style>
  <w:style w:type="character" w:customStyle="1" w:styleId="65">
    <w:name w:val="DocumentationTok"/>
    <w:basedOn w:val="48"/>
    <w:uiPriority w:val="0"/>
    <w:rPr>
      <w:i/>
      <w:color w:val="BA2121"/>
    </w:rPr>
  </w:style>
  <w:style w:type="character" w:customStyle="1" w:styleId="66">
    <w:name w:val="AnnotationTok"/>
    <w:basedOn w:val="48"/>
    <w:uiPriority w:val="0"/>
    <w:rPr>
      <w:b/>
      <w:i/>
      <w:color w:val="60A0B0"/>
    </w:rPr>
  </w:style>
  <w:style w:type="character" w:customStyle="1" w:styleId="67">
    <w:name w:val="CommentVarTok"/>
    <w:basedOn w:val="48"/>
    <w:uiPriority w:val="0"/>
    <w:rPr>
      <w:b/>
      <w:i/>
      <w:color w:val="60A0B0"/>
    </w:rPr>
  </w:style>
  <w:style w:type="character" w:customStyle="1" w:styleId="68">
    <w:name w:val="OtherTok"/>
    <w:basedOn w:val="48"/>
    <w:uiPriority w:val="0"/>
    <w:rPr>
      <w:color w:val="007020"/>
    </w:rPr>
  </w:style>
  <w:style w:type="character" w:customStyle="1" w:styleId="69">
    <w:name w:val="FunctionTok"/>
    <w:basedOn w:val="48"/>
    <w:uiPriority w:val="0"/>
    <w:rPr>
      <w:color w:val="06287E"/>
    </w:rPr>
  </w:style>
  <w:style w:type="character" w:customStyle="1" w:styleId="70">
    <w:name w:val="VariableTok"/>
    <w:basedOn w:val="48"/>
    <w:uiPriority w:val="0"/>
    <w:rPr>
      <w:color w:val="19177C"/>
    </w:rPr>
  </w:style>
  <w:style w:type="character" w:customStyle="1" w:styleId="71">
    <w:name w:val="ControlFlowTok"/>
    <w:basedOn w:val="48"/>
    <w:uiPriority w:val="0"/>
    <w:rPr>
      <w:b/>
      <w:color w:val="007020"/>
    </w:rPr>
  </w:style>
  <w:style w:type="character" w:customStyle="1" w:styleId="72">
    <w:name w:val="OperatorTok"/>
    <w:basedOn w:val="48"/>
    <w:uiPriority w:val="0"/>
    <w:rPr>
      <w:color w:val="666666"/>
    </w:rPr>
  </w:style>
  <w:style w:type="character" w:customStyle="1" w:styleId="73">
    <w:name w:val="BuiltInTok"/>
    <w:basedOn w:val="48"/>
    <w:uiPriority w:val="0"/>
    <w:rPr>
      <w:color w:val="008000"/>
    </w:rPr>
  </w:style>
  <w:style w:type="character" w:customStyle="1" w:styleId="74">
    <w:name w:val="ExtensionTok"/>
    <w:basedOn w:val="48"/>
    <w:uiPriority w:val="0"/>
  </w:style>
  <w:style w:type="character" w:customStyle="1" w:styleId="75">
    <w:name w:val="PreprocessorTok"/>
    <w:basedOn w:val="48"/>
    <w:uiPriority w:val="0"/>
    <w:rPr>
      <w:color w:val="BC7A00"/>
    </w:rPr>
  </w:style>
  <w:style w:type="character" w:customStyle="1" w:styleId="76">
    <w:name w:val="AttributeTok"/>
    <w:basedOn w:val="48"/>
    <w:uiPriority w:val="0"/>
    <w:rPr>
      <w:color w:val="7D9029"/>
    </w:rPr>
  </w:style>
  <w:style w:type="character" w:customStyle="1" w:styleId="77">
    <w:name w:val="RegionMarkerTok"/>
    <w:basedOn w:val="48"/>
    <w:uiPriority w:val="0"/>
  </w:style>
  <w:style w:type="character" w:customStyle="1" w:styleId="78">
    <w:name w:val="InformationTok"/>
    <w:basedOn w:val="48"/>
    <w:uiPriority w:val="0"/>
    <w:rPr>
      <w:b/>
      <w:i/>
      <w:color w:val="60A0B0"/>
    </w:rPr>
  </w:style>
  <w:style w:type="character" w:customStyle="1" w:styleId="79">
    <w:name w:val="WarningTok"/>
    <w:basedOn w:val="48"/>
    <w:uiPriority w:val="0"/>
    <w:rPr>
      <w:b/>
      <w:i/>
      <w:color w:val="60A0B0"/>
    </w:rPr>
  </w:style>
  <w:style w:type="character" w:customStyle="1" w:styleId="80">
    <w:name w:val="AlertTok"/>
    <w:basedOn w:val="48"/>
    <w:uiPriority w:val="0"/>
    <w:rPr>
      <w:b/>
      <w:color w:val="FF0000"/>
    </w:rPr>
  </w:style>
  <w:style w:type="character" w:customStyle="1" w:styleId="81">
    <w:name w:val="ErrorTok"/>
    <w:basedOn w:val="48"/>
    <w:uiPriority w:val="0"/>
    <w:rPr>
      <w:b/>
      <w:color w:val="FF0000"/>
    </w:rPr>
  </w:style>
  <w:style w:type="character" w:customStyle="1" w:styleId="82">
    <w:name w:val="NormalTok"/>
    <w:basedOn w:val="48"/>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2715</Words>
  <Characters>2838</Characters>
  <Lines>12</Lines>
  <Paragraphs>8</Paragraphs>
  <TotalTime>17</TotalTime>
  <ScaleCrop>false</ScaleCrop>
  <LinksUpToDate>false</LinksUpToDate>
  <CharactersWithSpaces>2840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1970-01-01T00:00:00Z</dcterms:created>
  <dc:creator>*</dc:creator>
  <cp:lastModifiedBy>*</cp:lastModifiedBy>
  <dcterms:modified xsi:type="dcterms:W3CDTF">2026-08-21T08:50:39Z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eyJoZGlkIjoiM2EzNzBhMGMwOGMzNTRlMmMwMjNlYzA4ZWQ5ODQyYzMiLCJ1c2VySWQiOiIzMzU3MDAyMzYifQ==</vt:lpwstr>
  </property>
  <property fmtid="{D5CDD505-2E9C-101B-9397-08002B2CF9AE}" pid="3" name="KSOProductBuildVer">
    <vt:lpwstr>2052-12.1.0.28043</vt:lpwstr>
  </property>
  <property fmtid="{D5CDD505-2E9C-101B-9397-08002B2CF9AE}" pid="4" name="ICV">
    <vt:lpwstr>000826A3FD994F1CBEF970DE0E897773_13</vt:lpwstr>
  </property>
</Properties>
</file>