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BF4F1">
      <w:pPr>
        <w:pStyle w:val="15"/>
        <w:widowControl/>
        <w:rPr>
          <w:rFonts w:hint="eastAsia" w:ascii="仿宋_GB2312" w:eastAsia="仿宋_GB2312"/>
          <w:b/>
          <w:sz w:val="36"/>
          <w:szCs w:val="36"/>
        </w:rPr>
      </w:pPr>
      <w:r>
        <w:rPr>
          <w:rFonts w:hint="eastAsia" w:ascii="仿宋_GB2312" w:hAnsi="仿宋_GB2312" w:eastAsia="仿宋_GB2312" w:cs="仿宋_GB2312"/>
          <w:b/>
          <w:bCs/>
          <w:kern w:val="44"/>
          <w:sz w:val="36"/>
          <w:szCs w:val="36"/>
          <w:lang w:val="en-US" w:eastAsia="zh-CN" w:bidi="ar-SA"/>
        </w:rPr>
        <w:t>广元市中心医院互联网门户网站运维服务采购项目详细要求</w:t>
      </w:r>
    </w:p>
    <w:p w14:paraId="5262E3B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eastAsia="仿宋_GB2312"/>
          <w:b w:val="0"/>
          <w:bCs/>
          <w:sz w:val="32"/>
          <w:szCs w:val="32"/>
        </w:rPr>
      </w:pPr>
      <w:r>
        <w:rPr>
          <w:rFonts w:hint="eastAsia" w:ascii="仿宋_GB2312" w:eastAsia="仿宋_GB2312"/>
          <w:b w:val="0"/>
          <w:bCs/>
          <w:sz w:val="32"/>
          <w:szCs w:val="32"/>
        </w:rPr>
        <w:t>本项目为医院网站运维服务采购。目前，医院网站系统运行于第三方云服务器上。中标供应商需自行采购并配置满足系统运行要求的服务器，并负责将现有系统完整、安全地迁移至新环境。所有相关费用（包括租赁、带宽、迁移等）均包含在投标总价中，采购人不再另行支付。</w:t>
      </w:r>
    </w:p>
    <w:p w14:paraId="11D198B7">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一、技术要求</w:t>
      </w:r>
    </w:p>
    <w:p w14:paraId="0DA4B7AC">
      <w:pPr>
        <w:pStyle w:val="2"/>
        <w:keepNext w:val="0"/>
        <w:keepLines w:val="0"/>
        <w:pageBreakBefore w:val="0"/>
        <w:widowControl/>
        <w:numPr>
          <w:ilvl w:val="0"/>
          <w:numId w:val="2"/>
        </w:numPr>
        <w:tabs>
          <w:tab w:val="left" w:pos="11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运行环境及安全保障</w:t>
      </w:r>
    </w:p>
    <w:p w14:paraId="30CF3C4B">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需满足《信息安全技术网络安全等级保护基本要求》（GB/T22239-2019）三级安全要求，保障公立医院门户网站通过三级等级保护测评验收，适配医院官网业务运行需求，保障患者信息、就诊公示、通知公告、政务公开等医疗信息数据安全。</w:t>
      </w:r>
    </w:p>
    <w:p w14:paraId="7C9A7B77">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基础服务器环境</w:t>
      </w:r>
    </w:p>
    <w:p w14:paraId="123FDEF9">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配置参数：CPU不低于4核，内存不低于8G，系统盘容量不低于</w:t>
      </w:r>
      <w:r>
        <w:rPr>
          <w:rFonts w:hint="eastAsia" w:ascii="仿宋_GB2312" w:hAnsi="仿宋_GB2312" w:eastAsia="仿宋_GB2312" w:cs="仿宋_GB2312"/>
          <w:b w:val="0"/>
          <w:bCs w:val="0"/>
          <w:sz w:val="32"/>
          <w:szCs w:val="32"/>
          <w:lang w:val="en-US" w:eastAsia="zh-CN" w:bidi="ar-SA"/>
        </w:rPr>
        <w:t>50G，数据盘容量不低于200</w:t>
      </w:r>
      <w:r>
        <w:rPr>
          <w:rFonts w:hint="eastAsia" w:ascii="仿宋_GB2312" w:hAnsi="仿宋_GB2312" w:eastAsia="仿宋_GB2312" w:cs="仿宋_GB2312"/>
          <w:sz w:val="32"/>
          <w:szCs w:val="32"/>
          <w:lang w:val="en-US" w:eastAsia="zh-CN" w:bidi="ar-SA"/>
        </w:rPr>
        <w:t>G，带宽不低于5M，满足医院官网日常访问、公示信息发布、查询访问、数据存储及安全组件运行性能需求。</w:t>
      </w:r>
    </w:p>
    <w:p w14:paraId="093BE529">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保障7×24小时稳定运行，具备基础运行监控、系统日志留存功能。</w:t>
      </w:r>
    </w:p>
    <w:p w14:paraId="13C3EAF7">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主机安全服务</w:t>
      </w:r>
    </w:p>
    <w:p w14:paraId="25E6662F">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具备资产指纹识别、入侵检测、安全预警、漏洞管理、高级威胁检测、漏洞检测能力；可实现服务器资产统一管理、异常行为告警、恶意进程识别、系统漏洞扫描与风险提示。</w:t>
      </w:r>
    </w:p>
    <w:p w14:paraId="27C2D992">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覆盖服务器操作系统、应用组件、账号行为、进程行为、外联访问等全维度主机安全监测。</w:t>
      </w:r>
    </w:p>
    <w:p w14:paraId="6CA8C7C4">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主机安全加固服务</w:t>
      </w:r>
    </w:p>
    <w:p w14:paraId="2982C243">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完成操作系统及应用容器版本升级、基线加固、安全策略配置、高危漏洞补丁定期升级部署；关闭不必要端口、服务、账号，优化系统基线配置。</w:t>
      </w:r>
    </w:p>
    <w:p w14:paraId="225B9F6C">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部署服务器端安全防护软件、杀毒软件，完成高危漏洞修复、系统防火墙策略精细化配置；建立定期巡检加固机制，形成加固报告。</w:t>
      </w:r>
    </w:p>
    <w:p w14:paraId="76EC0F18">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加固结果符合等保三级主机安全基线要求，减少高危系统漏洞与配置隐患，杜绝非法访问及数据泄露风险。</w:t>
      </w:r>
    </w:p>
    <w:p w14:paraId="21F6136F">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Web应用防护</w:t>
      </w:r>
    </w:p>
    <w:p w14:paraId="37C05586">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攻击防护能力：可有效抵御SQL注入、XSS跨站脚本攻击、溢出攻击、暴力破解、提权攻击、木马后门植入、恶意代码执行等常见Web攻击；具备网页防篡改功能，保障医院公告、政策公示、医疗科普等核心页面内容不被非法篡改。</w:t>
      </w:r>
    </w:p>
    <w:p w14:paraId="7E4F66AD">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恶意代码防护：可查杀网页恶意脚本、病毒、木马、后门程序，实时拦截恶意请求，支持防护策略自定义配置与更新。</w:t>
      </w:r>
    </w:p>
    <w:p w14:paraId="46C886D4">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日志审计：留存Web攻击访问日志，支持攻击溯源查询。</w:t>
      </w:r>
    </w:p>
    <w:p w14:paraId="63992F17">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网络防火墙及DDoS防护</w:t>
      </w:r>
    </w:p>
    <w:p w14:paraId="004BB386">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具备CC攻击防护、分布式拒绝服务攻击（DDoS）防护能力，抵御流量型、连接型攻击，保障医院官网正常稳定访问，避免就诊相关服务中断。</w:t>
      </w:r>
    </w:p>
    <w:p w14:paraId="007269E6">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运维堡垒主机</w:t>
      </w:r>
    </w:p>
    <w:p w14:paraId="2812D34E">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核心功能：提供服务器身份验证、账号统一管理、权限授权控制、全程操作审计功能；支持账号单点登录、密码托管、高危指令管控、会话全程录像审计。</w:t>
      </w:r>
    </w:p>
    <w:p w14:paraId="05D4EF0F">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完整留存运维操作日志、录像，满足等保三级运维审计及医疗信息合规管理要求，可实现违规操作追溯、阻断与告警。</w:t>
      </w:r>
    </w:p>
    <w:p w14:paraId="61DCA295">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安全访问控制组</w:t>
      </w:r>
    </w:p>
    <w:p w14:paraId="0791D658">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访问策略：精细化设置访问控制策略，遵循最小权限原则，仅开放医院官网业务运行必需的IP地址及通信端口；配置默认拒绝所有访问的兜底策略。</w:t>
      </w:r>
    </w:p>
    <w:p w14:paraId="600E70FB">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边界管控：实现网络访问边界管控，禁止非授权地址、非必要端口接入服务器，减少非法访问入口；支持策略变更审计与日志留存。</w:t>
      </w:r>
    </w:p>
    <w:p w14:paraId="33983BDA">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b/>
          <w:bCs w:val="0"/>
          <w:sz w:val="32"/>
          <w:szCs w:val="32"/>
          <w:lang w:val="en-US" w:eastAsia="zh-CN" w:bidi="ar-SA"/>
        </w:rPr>
      </w:pPr>
      <w:r>
        <w:rPr>
          <w:rFonts w:hint="eastAsia" w:ascii="仿宋_GB2312" w:hAnsi="仿宋_GB2312" w:eastAsia="仿宋_GB2312" w:cs="仿宋_GB2312"/>
          <w:b/>
          <w:bCs w:val="0"/>
          <w:sz w:val="32"/>
          <w:szCs w:val="32"/>
          <w:lang w:val="en-US" w:eastAsia="zh-CN" w:bidi="ar-SA"/>
        </w:rPr>
        <w:t>非法信息监测服务</w:t>
      </w:r>
    </w:p>
    <w:p w14:paraId="1985CFA8">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监测功能：对医院门户网站全站用户访问数据、页面内容进行实时关键字匹配监测，自动识别、预警疑似违法违规、虚假诊疗宣传、违规医药信息、涉医有害信息等不良内容。</w:t>
      </w:r>
    </w:p>
    <w:p w14:paraId="3A1FADBC">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数据备份服务</w:t>
      </w:r>
    </w:p>
    <w:p w14:paraId="6E7A028E">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快照备份：提供不少于5份版本的数据云快照备份，支持快照恢复验证，保障本地数据可快速回滚。</w:t>
      </w:r>
    </w:p>
    <w:p w14:paraId="1446709C">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异地备份：每年完成不少于12次异地人工全量备份，建立异地备份台账，定期开展备份恢复演练。</w:t>
      </w:r>
    </w:p>
    <w:p w14:paraId="2D23ECD5">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备份合规：备份数据满足等保三级数据备份恢复及医疗信息数据留存要求，保障公告信息、公示数据、网站关键配置可完整恢复、防丢失、防篡改。</w:t>
      </w:r>
    </w:p>
    <w:p w14:paraId="2D94F338">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服务器杀毒软件</w:t>
      </w:r>
    </w:p>
    <w:p w14:paraId="07E186C8">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安装并配置适配服务器系统的合规杀毒软件。</w:t>
      </w:r>
    </w:p>
    <w:p w14:paraId="5A8489A9">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具备病毒查杀、木马查杀、恶意程序监测、实时防护功能，可定期自动更新病毒库、全盘扫描查杀，支持病毒日志审计告警。</w:t>
      </w:r>
    </w:p>
    <w:p w14:paraId="5DC930DD">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SSL证书服务</w:t>
      </w:r>
    </w:p>
    <w:p w14:paraId="38AB3606">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加密要求：部署合规可信SSL证书，实现医院门户网站全站HTTPS加密访问部署，保障网站传输数据加密传输、防窃听、防劫持、防篡改，保护患者信息及访问数据安全。</w:t>
      </w:r>
    </w:p>
    <w:p w14:paraId="162C9680">
      <w:pPr>
        <w:pStyle w:val="3"/>
        <w:keepNext w:val="0"/>
        <w:keepLines w:val="0"/>
        <w:pageBreakBefore w:val="0"/>
        <w:widowControl/>
        <w:numPr>
          <w:ilvl w:val="0"/>
          <w:numId w:val="3"/>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网站合规升级改造</w:t>
      </w:r>
    </w:p>
    <w:p w14:paraId="06F9B687">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后台登录安全：强制设置高强度后台登录密码策略；配置密码错误尝试次数限制功能；启用短信动态口令二次验证机制，强化后台管理员身份认证。</w:t>
      </w:r>
    </w:p>
    <w:p w14:paraId="786A539A">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程序与数据库改造：后台程序按照等保三级规范及医疗行业信息安全要求完成代码合规改造；数据库关键特殊字段完成加密存储，防止敏感信息明文泄露。</w:t>
      </w:r>
    </w:p>
    <w:p w14:paraId="351ED14C">
      <w:pPr>
        <w:pStyle w:val="2"/>
        <w:keepNext w:val="0"/>
        <w:keepLines w:val="0"/>
        <w:pageBreakBefore w:val="0"/>
        <w:widowControl/>
        <w:numPr>
          <w:ilvl w:val="0"/>
          <w:numId w:val="2"/>
        </w:numPr>
        <w:tabs>
          <w:tab w:val="left" w:pos="11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日常运维服务</w:t>
      </w:r>
    </w:p>
    <w:p w14:paraId="6AD6ABDF">
      <w:pPr>
        <w:pStyle w:val="3"/>
        <w:keepNext w:val="0"/>
        <w:keepLines w:val="0"/>
        <w:pageBreakBefore w:val="0"/>
        <w:widowControl/>
        <w:numPr>
          <w:ilvl w:val="0"/>
          <w:numId w:val="4"/>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网站基础运维</w:t>
      </w:r>
    </w:p>
    <w:p w14:paraId="51BEA44B">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内容运维：配合医院信息科/宣传科室完成官网通知公告、政策文件、科室介绍、专家信息、健康宣教、便民服务等信息的发布、排版、审核、更新、下架操作；严格执行医院内容审核流程，未经院内确认不得擅自发布信息；定期检查页面排版错乱、链接失效、图片异常、附件无法下载等问题并及时修复。</w:t>
      </w:r>
    </w:p>
    <w:p w14:paraId="1F771930">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系统巡检：每日执行网站可用性巡检（页面访问、链接状态、访问速度、表单功能）；每周进行服务器运行状态巡检（CPU、内存、磁盘、带宽使用率、系统进程、日志异常）；每月进行全站页面健康检查、死链接检测、兼容性测试（主流浏览器），并输出月度运维巡检报告。</w:t>
      </w:r>
    </w:p>
    <w:p w14:paraId="198D99D3">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功能及组件维护：根据医院要求，对现有的系统进行功能升级、定期检查网站CMS系统、插件、应用组件版本，进行非破坏性版本更新、补丁修复；做好更新前备份，防止更新造成页面异常或业务中断。</w:t>
      </w:r>
    </w:p>
    <w:p w14:paraId="7297BDEF">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域名与基础服务运维：监控域名有效期、解析状态、备案状态，确保医院官网备案信息合规有效，及时办理备案变更、年审等相关事项；监控SSL证书有效期，提前完成续期部署，避免证书过期导致网站无法正常访问；监控CDN及访问链路状态，保障访问速度稳定。</w:t>
      </w:r>
    </w:p>
    <w:p w14:paraId="0D9D0C62">
      <w:pPr>
        <w:pStyle w:val="3"/>
        <w:keepNext w:val="0"/>
        <w:keepLines w:val="0"/>
        <w:pageBreakBefore w:val="0"/>
        <w:widowControl/>
        <w:numPr>
          <w:ilvl w:val="0"/>
          <w:numId w:val="4"/>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节假日及重大保障运维</w:t>
      </w:r>
    </w:p>
    <w:p w14:paraId="6446D637">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节假日、医院重要公告发布、大型义诊/宣教活动期间，开启7×24小时重点值守，加强流量监控、攻击防护、页面防篡改监测，保障官网稳定访问。</w:t>
      </w:r>
    </w:p>
    <w:p w14:paraId="08021CBD">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配合上级卫健部门、网信部门开展网站自查、巡检、信息核查、整改工作，按时提交自查报告及整改资料。</w:t>
      </w:r>
    </w:p>
    <w:p w14:paraId="3086D03C">
      <w:pPr>
        <w:pStyle w:val="2"/>
        <w:keepNext w:val="0"/>
        <w:keepLines w:val="0"/>
        <w:pageBreakBefore w:val="0"/>
        <w:widowControl/>
        <w:numPr>
          <w:ilvl w:val="0"/>
          <w:numId w:val="2"/>
        </w:numPr>
        <w:tabs>
          <w:tab w:val="left" w:pos="11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技术保障服务</w:t>
      </w:r>
    </w:p>
    <w:p w14:paraId="4BD8339A">
      <w:pPr>
        <w:pStyle w:val="3"/>
        <w:keepNext w:val="0"/>
        <w:keepLines w:val="0"/>
        <w:pageBreakBefore w:val="0"/>
        <w:widowControl/>
        <w:numPr>
          <w:ilvl w:val="0"/>
          <w:numId w:val="5"/>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故障处置保障</w:t>
      </w:r>
    </w:p>
    <w:p w14:paraId="09AF796F">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响应机制：提供7×24小时远程技术支持服务；工作时间故障：30分钟内响应，2小时内完成处置；重大故障（网站无法访问、页面篡改、服务器异常、数据异常）：1小时内响应并启动应急预案、2小时内须到我院现场处置。</w:t>
      </w:r>
    </w:p>
    <w:p w14:paraId="542DB934">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故障恢复预案：制定官网应急处置预案、网站篡改恢复预案、数据灾难恢复预案；发生网页篡改、服务器宕机、攻击瘫痪等突发安全事件时，第一时间阻断攻击、恢复原始页面、排查攻击源头，留存取证信息并同步医院信息管理部门；发生重大信息安全事件时配合医院完成上报、溯源、整改工作。</w:t>
      </w:r>
    </w:p>
    <w:p w14:paraId="13453D34">
      <w:pPr>
        <w:pStyle w:val="3"/>
        <w:keepNext w:val="0"/>
        <w:keepLines w:val="0"/>
        <w:pageBreakBefore w:val="0"/>
        <w:widowControl/>
        <w:numPr>
          <w:ilvl w:val="0"/>
          <w:numId w:val="5"/>
        </w:numPr>
        <w:tabs>
          <w:tab w:val="left" w:pos="1023"/>
        </w:tabs>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质保及售后保障</w:t>
      </w:r>
    </w:p>
    <w:p w14:paraId="49BE2D2D">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整体服务周期内提供原厂技术支持、持续版本更新、病毒库/防护策略自动更新；建立专属沟通渠道（对接群、电话、邮箱），定期沟通运维状况。</w:t>
      </w:r>
    </w:p>
    <w:p w14:paraId="7D3AB3B5">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建立月度沟通例会机制，同步运维情况、风险隐患及优化方案。</w:t>
      </w:r>
    </w:p>
    <w:p w14:paraId="1215FDED">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建立服务考核机制，以网站可用率、故障恢复时长、合规检查结果作为服务考核依据；承诺全年官网可用率不低于99%。</w:t>
      </w:r>
    </w:p>
    <w:p w14:paraId="2E7999DA">
      <w:pPr>
        <w:pStyle w:val="11"/>
        <w:keepNext w:val="0"/>
        <w:keepLines w:val="0"/>
        <w:pageBreakBefore w:val="0"/>
        <w:widowControl/>
        <w:numPr>
          <w:ilvl w:val="0"/>
          <w:numId w:val="0"/>
        </w:numPr>
        <w:tabs>
          <w:tab w:val="left" w:pos="482"/>
        </w:tabs>
        <w:kinsoku/>
        <w:wordWrap/>
        <w:overflowPunct/>
        <w:topLinePunct w:val="0"/>
        <w:autoSpaceDE/>
        <w:autoSpaceDN/>
        <w:bidi w:val="0"/>
        <w:spacing w:line="560" w:lineRule="exact"/>
        <w:jc w:val="both"/>
        <w:textAlignment w:val="auto"/>
        <w:rPr>
          <w:rFonts w:hint="eastAsia" w:ascii="仿宋_GB2312" w:hAnsi="仿宋_GB2312" w:eastAsia="仿宋_GB2312" w:cs="仿宋_GB2312"/>
          <w:sz w:val="36"/>
          <w:szCs w:val="36"/>
          <w:lang w:val="en-US" w:eastAsia="zh-CN" w:bidi="ar-SA"/>
        </w:rPr>
      </w:pPr>
      <w:r>
        <w:rPr>
          <w:rFonts w:hint="eastAsia" w:ascii="黑体" w:hAnsi="黑体" w:eastAsia="黑体" w:cs="黑体"/>
          <w:sz w:val="32"/>
          <w:szCs w:val="32"/>
          <w:lang w:val="en-US" w:eastAsia="zh-CN" w:bidi="ar-SA"/>
        </w:rPr>
        <w:t>二、其他要求</w:t>
      </w:r>
    </w:p>
    <w:p w14:paraId="46387F99">
      <w:pPr>
        <w:pStyle w:val="2"/>
        <w:widowControl/>
        <w:numPr>
          <w:ilvl w:val="0"/>
          <w:numId w:val="6"/>
        </w:numPr>
        <w:tabs>
          <w:tab w:val="left" w:pos="1123"/>
        </w:tabs>
        <w:topLinePunct w:val="0"/>
        <w:ind w:left="0" w:leftChars="0" w:firstLine="643" w:firstLineChars="200"/>
        <w:jc w:val="both"/>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人员要求</w:t>
      </w:r>
    </w:p>
    <w:p w14:paraId="64B86DB3">
      <w:pPr>
        <w:pStyle w:val="2"/>
        <w:widowControl/>
        <w:numPr>
          <w:ilvl w:val="0"/>
          <w:numId w:val="0"/>
        </w:numPr>
        <w:tabs>
          <w:tab w:val="left" w:pos="1123"/>
        </w:tabs>
        <w:topLinePunct w:val="0"/>
        <w:ind w:leftChars="0"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（1）基础配置</w:t>
      </w:r>
    </w:p>
    <w:p w14:paraId="78F84CD2">
      <w:pPr>
        <w:pStyle w:val="2"/>
        <w:widowControl/>
        <w:numPr>
          <w:ilvl w:val="0"/>
          <w:numId w:val="0"/>
        </w:numPr>
        <w:tabs>
          <w:tab w:val="left" w:pos="1123"/>
        </w:tabs>
        <w:topLinePunct w:val="0"/>
        <w:ind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供应商须配置项目经理1名、技术运维工程师不少于2名，负责本医院官网运维及安全保障工作，严禁随意更换核心运维人员；如需更换核心运维人员，须提前15个工作日书面告知院方并完成交接验收。</w:t>
      </w:r>
    </w:p>
    <w:p w14:paraId="012AB68A">
      <w:pPr>
        <w:pStyle w:val="2"/>
        <w:widowControl/>
        <w:numPr>
          <w:ilvl w:val="0"/>
          <w:numId w:val="0"/>
        </w:numPr>
        <w:tabs>
          <w:tab w:val="left" w:pos="1123"/>
        </w:tabs>
        <w:topLinePunct w:val="0"/>
        <w:ind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项目经理：具备信息安全管理或网站项目管理经验，负责整体服务统筹、月报提交、沟通对接、合规对接、重大事件协调处理，熟悉卫健行业网站监管及等保合规要求。</w:t>
      </w:r>
    </w:p>
    <w:p w14:paraId="529EAC02">
      <w:pPr>
        <w:pStyle w:val="2"/>
        <w:widowControl/>
        <w:numPr>
          <w:ilvl w:val="0"/>
          <w:numId w:val="0"/>
        </w:numPr>
        <w:tabs>
          <w:tab w:val="left" w:pos="1123"/>
        </w:tabs>
        <w:topLinePunct w:val="0"/>
        <w:ind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运维工程师：熟悉JAVA、Velocity模块语言，熟悉HTML、Vue.Js、CSS等前端开发框架，熟悉Mysql数据库。具备网站服务器运维、Web安全防护、Linux/Windows服务器运维、CMS网站运维相关能力，熟悉等保三级安全基线、网页防篡改、漏洞修复、备份恢复工作；可熟练处理网站篡改、异常访问、漏洞隐患、服务器故障等问题。</w:t>
      </w:r>
    </w:p>
    <w:p w14:paraId="53B6D999">
      <w:pPr>
        <w:pStyle w:val="2"/>
        <w:widowControl/>
        <w:numPr>
          <w:ilvl w:val="0"/>
          <w:numId w:val="0"/>
        </w:numPr>
        <w:tabs>
          <w:tab w:val="left" w:pos="1123"/>
        </w:tabs>
        <w:topLinePunct w:val="0"/>
        <w:ind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（2）建立7×24小时值守保障团队，设立应急联络人及联系电话，确保突发安全事件可及时联络处置。</w:t>
      </w:r>
    </w:p>
    <w:p w14:paraId="10DF40A1">
      <w:pPr>
        <w:pStyle w:val="2"/>
        <w:widowControl/>
        <w:numPr>
          <w:ilvl w:val="0"/>
          <w:numId w:val="6"/>
        </w:numPr>
        <w:tabs>
          <w:tab w:val="left" w:pos="1123"/>
        </w:tabs>
        <w:topLinePunct w:val="0"/>
        <w:ind w:left="0" w:leftChars="0" w:firstLine="643" w:firstLineChars="200"/>
        <w:jc w:val="both"/>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人员管理及保密要求</w:t>
      </w:r>
    </w:p>
    <w:p w14:paraId="38CEC8BF">
      <w:pPr>
        <w:pStyle w:val="2"/>
        <w:widowControl/>
        <w:numPr>
          <w:ilvl w:val="0"/>
          <w:numId w:val="0"/>
        </w:numPr>
        <w:tabs>
          <w:tab w:val="left" w:pos="1123"/>
        </w:tabs>
        <w:topLinePunct w:val="0"/>
        <w:ind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所有服务人员须遵守医院信息系统管理及信息保密制度，签订保密协议；严禁私自拷贝、导出、篡改、泄露医院网站信息、公示资料、患者相关信息、后台账</w:t>
      </w:r>
      <w:bookmarkStart w:id="0" w:name="_GoBack"/>
      <w:bookmarkEnd w:id="0"/>
      <w:r>
        <w:rPr>
          <w:rFonts w:hint="eastAsia" w:ascii="仿宋_GB2312" w:hAnsi="仿宋_GB2312" w:eastAsia="仿宋_GB2312" w:cs="仿宋_GB2312"/>
          <w:b w:val="0"/>
          <w:bCs w:val="0"/>
          <w:sz w:val="32"/>
          <w:szCs w:val="32"/>
          <w:lang w:val="en-US" w:eastAsia="zh-CN" w:bidi="ar-SA"/>
        </w:rPr>
        <w:t>号密码及系统配置信息；严禁私自对服务器、网站程序、数据库进行修改操作；所有后台操作必须留痕审计。</w:t>
      </w:r>
    </w:p>
    <w:p w14:paraId="0302F6EB">
      <w:pPr>
        <w:pStyle w:val="2"/>
        <w:widowControl/>
        <w:numPr>
          <w:ilvl w:val="0"/>
          <w:numId w:val="0"/>
        </w:numPr>
        <w:tabs>
          <w:tab w:val="left" w:pos="1123"/>
        </w:tabs>
        <w:topLinePunct w:val="0"/>
        <w:ind w:firstLine="640" w:firstLineChars="200"/>
        <w:jc w:val="both"/>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严禁运维人员以任何形式植入广告、后门程序、恶意脚本，不得增加非授权第三方插件、统计代码；不得将医院服务器及网站资源挪作他用。</w:t>
      </w:r>
    </w:p>
    <w:p w14:paraId="08B72C7B">
      <w:pPr>
        <w:rPr>
          <w:b w:val="0"/>
          <w:bCs w:val="0"/>
        </w:rPr>
      </w:pPr>
    </w:p>
    <w:p w14:paraId="437E1279">
      <w:pPr>
        <w:pStyle w:val="11"/>
        <w:widowControl/>
        <w:numPr>
          <w:ilvl w:val="0"/>
          <w:numId w:val="0"/>
        </w:numPr>
        <w:tabs>
          <w:tab w:val="left" w:pos="482"/>
        </w:tabs>
        <w:ind w:firstLine="640" w:firstLineChars="200"/>
        <w:jc w:val="both"/>
        <w:rPr>
          <w:rFonts w:hint="eastAsia" w:ascii="仿宋_GB2312" w:hAnsi="仿宋_GB2312" w:eastAsia="仿宋_GB2312" w:cs="仿宋_GB2312"/>
          <w:sz w:val="32"/>
          <w:szCs w:val="32"/>
          <w:lang w:val="en-US" w:eastAsia="zh-CN" w:bidi="ar-SA"/>
        </w:rPr>
      </w:pPr>
    </w:p>
    <w:sectPr>
      <w:footerReference r:id="rId3" w:type="default"/>
      <w:pgSz w:w="11906" w:h="16838"/>
      <w:pgMar w:top="1440" w:right="1803" w:bottom="1440" w:left="1803" w:header="850" w:footer="850" w:gutter="0"/>
      <w:pgNumType w:fmt="decimal"/>
      <w:cols w:space="0" w:num="1"/>
      <w:docGrid w:type="lines"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6C0C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DE72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ADE72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7450D7"/>
    <w:multiLevelType w:val="singleLevel"/>
    <w:tmpl w:val="9C7450D7"/>
    <w:lvl w:ilvl="0" w:tentative="0">
      <w:start w:val="1"/>
      <w:numFmt w:val="decimal"/>
      <w:suff w:val="nothing"/>
      <w:lvlText w:val="%1．"/>
      <w:lvlJc w:val="left"/>
      <w:pPr>
        <w:ind w:left="0" w:firstLine="400"/>
      </w:pPr>
      <w:rPr>
        <w:rFonts w:hint="default"/>
      </w:rPr>
    </w:lvl>
  </w:abstractNum>
  <w:abstractNum w:abstractNumId="1">
    <w:nsid w:val="ABF43352"/>
    <w:multiLevelType w:val="singleLevel"/>
    <w:tmpl w:val="ABF43352"/>
    <w:lvl w:ilvl="0" w:tentative="0">
      <w:start w:val="1"/>
      <w:numFmt w:val="decimal"/>
      <w:lvlText w:val="(%1)"/>
      <w:lvlJc w:val="left"/>
      <w:pPr>
        <w:ind w:left="425" w:hanging="425"/>
      </w:pPr>
      <w:rPr>
        <w:rFonts w:hint="default"/>
      </w:rPr>
    </w:lvl>
  </w:abstractNum>
  <w:abstractNum w:abstractNumId="2">
    <w:nsid w:val="C13BA176"/>
    <w:multiLevelType w:val="singleLevel"/>
    <w:tmpl w:val="C13BA176"/>
    <w:lvl w:ilvl="0" w:tentative="0">
      <w:start w:val="1"/>
      <w:numFmt w:val="decimal"/>
      <w:suff w:val="nothing"/>
      <w:lvlText w:val="%1．"/>
      <w:lvlJc w:val="left"/>
      <w:pPr>
        <w:ind w:left="0" w:firstLine="400"/>
      </w:pPr>
      <w:rPr>
        <w:rFonts w:hint="default"/>
      </w:rPr>
    </w:lvl>
  </w:abstractNum>
  <w:abstractNum w:abstractNumId="3">
    <w:nsid w:val="FCDDB51D"/>
    <w:multiLevelType w:val="singleLevel"/>
    <w:tmpl w:val="FCDDB51D"/>
    <w:lvl w:ilvl="0" w:tentative="0">
      <w:start w:val="1"/>
      <w:numFmt w:val="decimal"/>
      <w:lvlText w:val="(%1)"/>
      <w:lvlJc w:val="left"/>
      <w:pPr>
        <w:ind w:left="425" w:hanging="425"/>
      </w:pPr>
      <w:rPr>
        <w:rFonts w:hint="default"/>
      </w:rPr>
    </w:lvl>
  </w:abstractNum>
  <w:abstractNum w:abstractNumId="4">
    <w:nsid w:val="20000001"/>
    <w:multiLevelType w:val="singleLevel"/>
    <w:tmpl w:val="20000001"/>
    <w:lvl w:ilvl="0" w:tentative="0">
      <w:start w:val="1"/>
      <w:numFmt w:val="decimal"/>
      <w:pStyle w:val="25"/>
      <w:suff w:val="space"/>
      <w:lvlText w:val="%1 "/>
      <w:lvlJc w:val="right"/>
      <w:rPr>
        <w:rFonts w:ascii="微软雅黑" w:hAnsi="微软雅黑" w:eastAsia="微软雅黑" w:cs="微软雅黑"/>
        <w:color w:val="C0C6CF"/>
        <w:sz w:val="16"/>
      </w:rPr>
    </w:lvl>
  </w:abstractNum>
  <w:abstractNum w:abstractNumId="5">
    <w:nsid w:val="62C38E5B"/>
    <w:multiLevelType w:val="singleLevel"/>
    <w:tmpl w:val="62C38E5B"/>
    <w:lvl w:ilvl="0" w:tentative="0">
      <w:start w:val="1"/>
      <w:numFmt w:val="decimal"/>
      <w:lvlText w:val="(%1)"/>
      <w:lvlJc w:val="left"/>
      <w:pPr>
        <w:ind w:left="425" w:hanging="425"/>
      </w:pPr>
      <w:rPr>
        <w:rFont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F2E6D"/>
    <w:rsid w:val="01C0753F"/>
    <w:rsid w:val="04E35A1E"/>
    <w:rsid w:val="050D2A9B"/>
    <w:rsid w:val="06400C4E"/>
    <w:rsid w:val="08031F33"/>
    <w:rsid w:val="091A588A"/>
    <w:rsid w:val="0A533ABA"/>
    <w:rsid w:val="0C0F6BAC"/>
    <w:rsid w:val="0C1E558E"/>
    <w:rsid w:val="0C62191E"/>
    <w:rsid w:val="0CBD0903"/>
    <w:rsid w:val="0D444B80"/>
    <w:rsid w:val="124F64A1"/>
    <w:rsid w:val="12E34E3B"/>
    <w:rsid w:val="152A0AFF"/>
    <w:rsid w:val="17530466"/>
    <w:rsid w:val="17E31439"/>
    <w:rsid w:val="19FB727A"/>
    <w:rsid w:val="1AF10A77"/>
    <w:rsid w:val="1BA84B4D"/>
    <w:rsid w:val="1C493F61"/>
    <w:rsid w:val="1F5E39DC"/>
    <w:rsid w:val="1F7C289F"/>
    <w:rsid w:val="1F83778A"/>
    <w:rsid w:val="1FC93D91"/>
    <w:rsid w:val="216B660D"/>
    <w:rsid w:val="23A17CD6"/>
    <w:rsid w:val="24521E21"/>
    <w:rsid w:val="24AB32DF"/>
    <w:rsid w:val="251A293E"/>
    <w:rsid w:val="26111DDF"/>
    <w:rsid w:val="28616AD6"/>
    <w:rsid w:val="28766397"/>
    <w:rsid w:val="2ADB491E"/>
    <w:rsid w:val="2BB84C5F"/>
    <w:rsid w:val="2FC8743B"/>
    <w:rsid w:val="302C5C1C"/>
    <w:rsid w:val="30EC4D35"/>
    <w:rsid w:val="31EA18EB"/>
    <w:rsid w:val="35AD17A7"/>
    <w:rsid w:val="35B75F88"/>
    <w:rsid w:val="35C16E06"/>
    <w:rsid w:val="375F68D7"/>
    <w:rsid w:val="392C0A3B"/>
    <w:rsid w:val="3A306308"/>
    <w:rsid w:val="3ABB2076"/>
    <w:rsid w:val="3AEE244B"/>
    <w:rsid w:val="3B9B72DD"/>
    <w:rsid w:val="3EAA41D0"/>
    <w:rsid w:val="3EBC016B"/>
    <w:rsid w:val="3F9D1D4A"/>
    <w:rsid w:val="3FE94F8F"/>
    <w:rsid w:val="400720FE"/>
    <w:rsid w:val="421B33FA"/>
    <w:rsid w:val="454B2248"/>
    <w:rsid w:val="45A656D1"/>
    <w:rsid w:val="45C22134"/>
    <w:rsid w:val="48757D08"/>
    <w:rsid w:val="48C447EC"/>
    <w:rsid w:val="48D2515B"/>
    <w:rsid w:val="4B644064"/>
    <w:rsid w:val="4B69167A"/>
    <w:rsid w:val="4D2717ED"/>
    <w:rsid w:val="4D2E751A"/>
    <w:rsid w:val="4E1458CD"/>
    <w:rsid w:val="4FC461D7"/>
    <w:rsid w:val="50272FC0"/>
    <w:rsid w:val="52791565"/>
    <w:rsid w:val="53DD2C05"/>
    <w:rsid w:val="54EE034D"/>
    <w:rsid w:val="55342CF9"/>
    <w:rsid w:val="55EE10FA"/>
    <w:rsid w:val="5697353F"/>
    <w:rsid w:val="569A3030"/>
    <w:rsid w:val="56C9121F"/>
    <w:rsid w:val="59C424BC"/>
    <w:rsid w:val="5C594DF3"/>
    <w:rsid w:val="5D5F36EC"/>
    <w:rsid w:val="5FB92779"/>
    <w:rsid w:val="60D3786A"/>
    <w:rsid w:val="610B7004"/>
    <w:rsid w:val="613227E3"/>
    <w:rsid w:val="62AE1CFD"/>
    <w:rsid w:val="6368658F"/>
    <w:rsid w:val="63864423"/>
    <w:rsid w:val="63B37ACD"/>
    <w:rsid w:val="641206A9"/>
    <w:rsid w:val="642E6B65"/>
    <w:rsid w:val="648844C8"/>
    <w:rsid w:val="64AC28AC"/>
    <w:rsid w:val="64FD4EB5"/>
    <w:rsid w:val="65CC6636"/>
    <w:rsid w:val="674F272E"/>
    <w:rsid w:val="6910550E"/>
    <w:rsid w:val="69E93C5A"/>
    <w:rsid w:val="6C692E30"/>
    <w:rsid w:val="6DA46816"/>
    <w:rsid w:val="6EAB14DE"/>
    <w:rsid w:val="6F2614AD"/>
    <w:rsid w:val="709F6A69"/>
    <w:rsid w:val="713E093B"/>
    <w:rsid w:val="75840CDB"/>
    <w:rsid w:val="75866801"/>
    <w:rsid w:val="7625485B"/>
    <w:rsid w:val="772C5186"/>
    <w:rsid w:val="77CE4490"/>
    <w:rsid w:val="79AE27CB"/>
    <w:rsid w:val="7ADA66B2"/>
    <w:rsid w:val="7B971768"/>
    <w:rsid w:val="7BD8263A"/>
    <w:rsid w:val="7E2117BD"/>
    <w:rsid w:val="7F4021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extAlignment w:val="baseline"/>
    </w:pPr>
    <w:rPr>
      <w:rFonts w:ascii="微软雅黑" w:hAnsi="微软雅黑" w:eastAsia="微软雅黑" w:cs="微软雅黑"/>
      <w:color w:val="080F17"/>
      <w:sz w:val="22"/>
    </w:rPr>
  </w:style>
  <w:style w:type="paragraph" w:styleId="2">
    <w:name w:val="heading 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qFormat/>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5">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table" w:styleId="17">
    <w:name w:val="Table Grid"/>
    <w:qFormat/>
    <w:uiPriority w:val="0"/>
    <w:tblP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character" w:styleId="19">
    <w:name w:val="Hyperlink"/>
    <w:qFormat/>
    <w:uiPriority w:val="0"/>
    <w:rPr>
      <w:color w:val="0A6CFF"/>
      <w:u w:val="single" w:color="0A6CFF"/>
    </w:rPr>
  </w:style>
  <w:style w:type="paragraph" w:customStyle="1" w:styleId="20">
    <w:name w:val="MainTitle"/>
    <w:basedOn w:val="1"/>
    <w:qFormat/>
    <w:uiPriority w:val="0"/>
    <w:pPr>
      <w:pBdr>
        <w:bottom w:val="single" w:color="E2E6ED" w:sz="6" w:space="5"/>
      </w:pBdr>
      <w:spacing w:before="180" w:after="480" w:line="780" w:lineRule="exact"/>
    </w:pPr>
    <w:rPr>
      <w:b/>
      <w:sz w:val="44"/>
    </w:rPr>
  </w:style>
  <w:style w:type="character" w:customStyle="1" w:styleId="21">
    <w:name w:val="DateTime"/>
    <w:qFormat/>
    <w:uiPriority w:val="0"/>
    <w:rPr>
      <w:color w:val="0A6CFF"/>
    </w:rPr>
  </w:style>
  <w:style w:type="paragraph" w:customStyle="1" w:styleId="22">
    <w:name w:val="Blockquote"/>
    <w:basedOn w:val="1"/>
    <w:qFormat/>
    <w:uiPriority w:val="0"/>
    <w:pPr>
      <w:pBdr>
        <w:left w:val="single" w:color="E2E6ED" w:sz="36" w:space="12"/>
      </w:pBdr>
      <w:ind w:left="330" w:firstLine="0"/>
    </w:pPr>
    <w:rPr>
      <w:color w:val="767C85"/>
      <w:sz w:val="22"/>
    </w:rPr>
  </w:style>
  <w:style w:type="character" w:customStyle="1" w:styleId="23">
    <w:name w:val="Code"/>
    <w:qFormat/>
    <w:uiPriority w:val="0"/>
    <w:rPr>
      <w:bdr w:val="single" w:color="E2E6ED" w:sz="6" w:space="0"/>
    </w:rPr>
  </w:style>
  <w:style w:type="character" w:customStyle="1" w:styleId="24">
    <w:name w:val="Emoji"/>
    <w:qFormat/>
    <w:uiPriority w:val="0"/>
    <w:rPr>
      <w:rFonts w:ascii="Segoe UI Emoji" w:hAnsi="Segoe UI Emoji" w:eastAsia="Segoe UI Emoji" w:cs="Segoe UI Emoji"/>
    </w:rPr>
  </w:style>
  <w:style w:type="paragraph" w:customStyle="1" w:styleId="25">
    <w:name w:val="CodeBlock"/>
    <w:basedOn w:val="1"/>
    <w:qFormat/>
    <w:uiPriority w:val="0"/>
    <w:pPr>
      <w:numPr>
        <w:ilvl w:val="0"/>
        <w:numId w:val="1"/>
      </w:numPr>
      <w:pBdr>
        <w:top w:val="single" w:color="E2E6ED" w:sz="6" w:space="8"/>
        <w:left w:val="single" w:color="E2E6ED" w:sz="6" w:space="26"/>
        <w:bottom w:val="single" w:color="E2E6ED" w:sz="6" w:space="8"/>
        <w:right w:val="single" w:color="E2E6ED" w:sz="6" w:space="0"/>
      </w:pBdr>
      <w:shd w:val="clear" w:color="FFFFFF" w:fill="F5F7F9"/>
      <w:spacing w:before="0" w:after="0" w:line="300" w:lineRule="exact"/>
      <w:ind w:left="540" w:firstLine="0"/>
    </w:pPr>
    <w:rPr>
      <w:sz w:val="18"/>
    </w:rPr>
  </w:style>
  <w:style w:type="table" w:customStyle="1" w:styleId="26">
    <w:name w:val="HighlightBlock"/>
    <w:qFormat/>
    <w:uiPriority w:val="0"/>
    <w:tblPr>
      <w:tblBorders>
        <w:top w:val="single" w:color="FEC794" w:sz="6" w:space="0"/>
        <w:left w:val="single" w:color="FEC794" w:sz="6" w:space="0"/>
        <w:bottom w:val="single" w:color="FEC794" w:sz="6" w:space="0"/>
        <w:right w:val="single" w:color="FEC794" w:sz="6" w:space="0"/>
        <w:insideH w:val="single" w:color="FEC794" w:sz="6" w:space="0"/>
        <w:insideV w:val="single" w:color="FEC794" w:sz="6" w:space="0"/>
      </w:tblBorders>
      <w:tblCellMar>
        <w:left w:w="108" w:type="dxa"/>
        <w:right w:w="108" w:type="dxa"/>
      </w:tblCellMar>
    </w:tblPr>
  </w:style>
  <w:style w:type="paragraph" w:customStyle="1" w:styleId="27">
    <w:name w:val="Seperate"/>
    <w:basedOn w:val="1"/>
    <w:qFormat/>
    <w:uiPriority w:val="0"/>
    <w:pPr>
      <w:spacing w:before="0" w:after="0" w:line="120" w:lineRule="exac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2717</Words>
  <Characters>2780</Characters>
  <TotalTime>1</TotalTime>
  <ScaleCrop>false</ScaleCrop>
  <LinksUpToDate>false</LinksUpToDate>
  <CharactersWithSpaces>2780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2026-07-15T13:21:00Z</dcterms:created>
  <dc:creator>webotl</dc:creator>
  <cp:lastModifiedBy>企业用户_1151885371</cp:lastModifiedBy>
  <dcterms:modified xsi:type="dcterms:W3CDTF">2026-07-16T02:16:36Z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webotl</vt:lpwstr>
  </property>
  <property fmtid="{D5CDD505-2E9C-101B-9397-08002B2CF9AE}" pid="3" name="KSOTemplateDocerSaveRecord">
    <vt:lpwstr>eyJoZGlkIjoiN2Y5YTA4MjdkNTJhODZlMzYyYWUyOTRiYmRmYTIyNWUiLCJ1c2VySWQiOiIxNjkwMDc3MDEyIn0=</vt:lpwstr>
  </property>
  <property fmtid="{D5CDD505-2E9C-101B-9397-08002B2CF9AE}" pid="4" name="KSOProductBuildVer">
    <vt:lpwstr>2052-12.1.0.26895</vt:lpwstr>
  </property>
  <property fmtid="{D5CDD505-2E9C-101B-9397-08002B2CF9AE}" pid="5" name="ICV">
    <vt:lpwstr>F5A26DEB90804FE9807CD856666817A1_12</vt:lpwstr>
  </property>
</Properties>
</file>