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高端CT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42014953"/>
      <w:bookmarkStart w:id="2" w:name="_Toc12690"/>
      <w:bookmarkStart w:id="3" w:name="_Toc519708707"/>
      <w:bookmarkStart w:id="4" w:name="_Toc31699"/>
      <w:bookmarkStart w:id="5" w:name="_Toc25494"/>
      <w:bookmarkStart w:id="6" w:name="_Toc42015219"/>
      <w:bookmarkStart w:id="7" w:name="_Toc42015018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高端CT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高端CT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55"/>
      <w:bookmarkStart w:id="9" w:name="_Toc24738"/>
      <w:bookmarkStart w:id="10" w:name="_Toc9341"/>
      <w:bookmarkStart w:id="11" w:name="_Toc42015019"/>
      <w:bookmarkStart w:id="12" w:name="_Toc13516"/>
      <w:bookmarkStart w:id="13" w:name="_Toc9714"/>
      <w:bookmarkStart w:id="14" w:name="_Toc519708708"/>
      <w:bookmarkStart w:id="15" w:name="_Toc8915"/>
      <w:bookmarkStart w:id="16" w:name="_Toc12952"/>
      <w:bookmarkStart w:id="17" w:name="_Toc10579"/>
      <w:bookmarkStart w:id="18" w:name="_Toc15278"/>
      <w:bookmarkStart w:id="19" w:name="_Toc514424483"/>
      <w:bookmarkStart w:id="20" w:name="_Toc514409265"/>
      <w:bookmarkStart w:id="21" w:name="_Toc42015220"/>
      <w:bookmarkStart w:id="22" w:name="_Toc10646"/>
      <w:bookmarkStart w:id="23" w:name="_Toc42014954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21920"/>
      <w:bookmarkStart w:id="25" w:name="_Toc15373"/>
      <w:bookmarkStart w:id="26" w:name="_Toc42015223"/>
      <w:bookmarkStart w:id="27" w:name="_Toc16088"/>
      <w:bookmarkStart w:id="28" w:name="_Toc42014957"/>
      <w:bookmarkStart w:id="29" w:name="_Toc19542"/>
      <w:bookmarkStart w:id="30" w:name="_Toc27016"/>
      <w:bookmarkStart w:id="31" w:name="_Toc42015022"/>
      <w:bookmarkStart w:id="32" w:name="_Toc751"/>
      <w:bookmarkStart w:id="33" w:name="_Toc25115"/>
      <w:bookmarkStart w:id="34" w:name="_Toc36199918"/>
      <w:bookmarkStart w:id="35" w:name="_Toc7672"/>
      <w:bookmarkStart w:id="36" w:name="_Toc7099"/>
      <w:bookmarkStart w:id="42" w:name="_GoBack"/>
      <w:bookmarkEnd w:id="42"/>
    </w:p>
    <w:p w14:paraId="27C0F7DE">
      <w:pPr>
        <w:pStyle w:val="16"/>
        <w:numPr>
          <w:ilvl w:val="0"/>
          <w:numId w:val="0"/>
        </w:numPr>
        <w:ind w:firstLine="560" w:firstLineChars="200"/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</w:rPr>
        <w:t>单源探测器≥256排且高压发生器最大功率≥10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</w:rPr>
        <w:t>kW；或者单源探测器≥320排且高压发生器最大功率≥100kW；或者双源探测器≥96排×2且高压发生器功率≥120kW；或者立体双层探测器≥128排×2且高压发生器最大功率≥120kW</w:t>
      </w:r>
    </w:p>
    <w:p w14:paraId="23EAC19A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球管热容量大，转速快，重建速度快，探测器效率高，图像分辨率高</w:t>
      </w:r>
    </w:p>
    <w:p w14:paraId="10EBCBD2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具备无心电门控冠状动脉检查技术</w:t>
      </w:r>
    </w:p>
    <w:p w14:paraId="5134397D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能谱成像质量高、操作便捷；冠状动脉成像质量高</w:t>
      </w:r>
    </w:p>
    <w:p w14:paraId="35CE0F4A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孔径大，具备天眼技术</w:t>
      </w:r>
    </w:p>
    <w:p w14:paraId="392CC9B6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设备智能化程度高，支持智能定位</w:t>
      </w:r>
    </w:p>
    <w:p w14:paraId="5A4B159F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采用深度学习算法</w:t>
      </w:r>
    </w:p>
    <w:p w14:paraId="539CEBCD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辐射剂量低</w:t>
      </w:r>
    </w:p>
    <w:p w14:paraId="1FA6A51E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9.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必须配备智能后处理软件</w:t>
      </w:r>
    </w:p>
    <w:p w14:paraId="1DCD34E1">
      <w:pPr>
        <w:pStyle w:val="16"/>
        <w:numPr>
          <w:ilvl w:val="0"/>
          <w:numId w:val="0"/>
        </w:numPr>
        <w:ind w:firstLine="560" w:firstLineChars="200"/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10.</w:t>
      </w:r>
      <w:r>
        <w:rPr>
          <w:rFonts w:hint="default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>床面具备防卡手安全设计</w:t>
      </w:r>
    </w:p>
    <w:p w14:paraId="368C2342">
      <w:pPr>
        <w:rPr>
          <w:rFonts w:hint="eastAsia"/>
        </w:rPr>
      </w:pPr>
    </w:p>
    <w:p w14:paraId="5EAA004B">
      <w:pPr>
        <w:rPr>
          <w:rFonts w:hint="eastAsia"/>
        </w:rPr>
      </w:pPr>
    </w:p>
    <w:p w14:paraId="4DCF8FA9">
      <w:pPr>
        <w:rPr>
          <w:rFonts w:hint="eastAsia"/>
        </w:rPr>
      </w:pPr>
    </w:p>
    <w:p w14:paraId="296DE561">
      <w:pPr>
        <w:rPr>
          <w:rFonts w:hint="eastAsia"/>
        </w:rPr>
      </w:pPr>
    </w:p>
    <w:p w14:paraId="512CB603">
      <w:pPr>
        <w:rPr>
          <w:rFonts w:hint="eastAsia"/>
        </w:rPr>
      </w:pPr>
    </w:p>
    <w:p w14:paraId="53831B10">
      <w:pPr>
        <w:rPr>
          <w:rFonts w:hint="eastAsia"/>
        </w:rPr>
      </w:pPr>
    </w:p>
    <w:p w14:paraId="55F9F81D">
      <w:pPr>
        <w:rPr>
          <w:rFonts w:hint="eastAsia"/>
        </w:rPr>
      </w:pPr>
    </w:p>
    <w:p w14:paraId="0170F94D">
      <w:pPr>
        <w:rPr>
          <w:rFonts w:hint="eastAsia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*质保年限不得低于3年（基础要求）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5227B049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产品相关资料</w:t>
      </w:r>
    </w:p>
    <w:p w14:paraId="6C604D61">
      <w:pPr>
        <w:widowControl/>
        <w:snapToGrid w:val="0"/>
        <w:jc w:val="center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（注册证、产品配置清单、产品彩页等）</w:t>
      </w:r>
    </w:p>
    <w:p w14:paraId="28C3546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3721C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34A8350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3EEA95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19FD4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1E9D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8294BB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3ECEE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20A2F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69C28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C0E53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12CA4EE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4FF96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669B8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962A1D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4102627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E7460A5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03BDDE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D0616F3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AA49719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DFCBEE4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E5413B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7C0BC12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EE64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63F37A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9E5DD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00140D6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7493F6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2BE01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B57E02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FA493F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1714B7D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8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75DC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53D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5F08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5420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A7FC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289978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7F72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3504FB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5BE1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EA0A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916F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5ED2D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2A7FDD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3D3398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69770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847438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AF9EC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85A1C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4E69E1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3987C4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F0B8F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E56586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209659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default" w:ascii="宋体" w:hAnsi="宋体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格式2-9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67F9B9-F217-467A-A38C-ED7FD13E712F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C2C4BB-B3EE-458F-818F-38BDDA5FFB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5247C8-2C53-4EA3-82E5-898FDCD51E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18A7A8-8CB6-4735-AF1C-E3B4AA808C2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CCED2DE-C37D-4D98-A212-795FB966DD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A72A08D-07E9-4A5D-9BD4-B9F10F3688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70A508C"/>
    <w:rsid w:val="1C0C5403"/>
    <w:rsid w:val="1D9A4023"/>
    <w:rsid w:val="21AE6F52"/>
    <w:rsid w:val="22211204"/>
    <w:rsid w:val="23C91E2B"/>
    <w:rsid w:val="29812E5D"/>
    <w:rsid w:val="2A8B7E3A"/>
    <w:rsid w:val="2AAD392A"/>
    <w:rsid w:val="2BD32147"/>
    <w:rsid w:val="2D1C5657"/>
    <w:rsid w:val="2DF61962"/>
    <w:rsid w:val="2ED41B53"/>
    <w:rsid w:val="2EF8501C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1471AD6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572</Words>
  <Characters>628</Characters>
  <Lines>0</Lines>
  <Paragraphs>0</Paragraphs>
  <TotalTime>5</TotalTime>
  <ScaleCrop>false</ScaleCrop>
  <LinksUpToDate>false</LinksUpToDate>
  <CharactersWithSpaces>636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aoc</cp:lastModifiedBy>
  <dcterms:modified xsi:type="dcterms:W3CDTF">2026-06-02T09:26:46Z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913C7AFA5F6244649FBBD23FFA523FB9_13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