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除颤监护仪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28</w:t>
      </w:r>
      <w:bookmarkStart w:id="42" w:name="_GoBack"/>
      <w:bookmarkEnd w:id="42"/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42015219"/>
      <w:bookmarkStart w:id="1" w:name="_Toc25494"/>
      <w:bookmarkStart w:id="2" w:name="_Toc42015018"/>
      <w:bookmarkStart w:id="3" w:name="_Toc31699"/>
      <w:bookmarkStart w:id="4" w:name="_Toc42014953"/>
      <w:bookmarkStart w:id="5" w:name="_Toc519708707"/>
      <w:bookmarkStart w:id="6" w:name="_Toc16543"/>
      <w:bookmarkStart w:id="7" w:name="_Toc12690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除颤监护仪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除颤监护仪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预算控制价：50000元，超过该预算价为无效报价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28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55"/>
      <w:bookmarkStart w:id="9" w:name="_Toc42014954"/>
      <w:bookmarkStart w:id="10" w:name="_Toc8915"/>
      <w:bookmarkStart w:id="11" w:name="_Toc519708708"/>
      <w:bookmarkStart w:id="12" w:name="_Toc13516"/>
      <w:bookmarkStart w:id="13" w:name="_Toc42015019"/>
      <w:bookmarkStart w:id="14" w:name="_Toc514409265"/>
      <w:bookmarkStart w:id="15" w:name="_Toc12952"/>
      <w:bookmarkStart w:id="16" w:name="_Toc15278"/>
      <w:bookmarkStart w:id="17" w:name="_Toc9341"/>
      <w:bookmarkStart w:id="18" w:name="_Toc24738"/>
      <w:bookmarkStart w:id="19" w:name="_Toc10579"/>
      <w:bookmarkStart w:id="20" w:name="_Toc10646"/>
      <w:bookmarkStart w:id="21" w:name="_Toc9714"/>
      <w:bookmarkStart w:id="22" w:name="_Toc514424483"/>
      <w:bookmarkStart w:id="23" w:name="_Toc42015220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CAFF36E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bookmarkStart w:id="24" w:name="_Toc25115"/>
      <w:bookmarkStart w:id="25" w:name="_Toc751"/>
      <w:bookmarkStart w:id="26" w:name="_Toc21920"/>
      <w:bookmarkStart w:id="27" w:name="_Toc15373"/>
      <w:bookmarkStart w:id="28" w:name="_Toc27016"/>
      <w:bookmarkStart w:id="29" w:name="_Toc42015223"/>
      <w:bookmarkStart w:id="30" w:name="_Toc42014957"/>
      <w:bookmarkStart w:id="31" w:name="_Toc42015022"/>
      <w:bookmarkStart w:id="32" w:name="_Toc36199918"/>
      <w:bookmarkStart w:id="33" w:name="_Toc16088"/>
      <w:bookmarkStart w:id="34" w:name="_Toc7672"/>
      <w:bookmarkStart w:id="35" w:name="_Toc7099"/>
      <w:bookmarkStart w:id="36" w:name="_Toc19542"/>
      <w:r>
        <w:rPr>
          <w:rFonts w:hint="eastAsia" w:ascii="宋体" w:hAnsi="宋体" w:cs="宋体"/>
          <w:kern w:val="0"/>
          <w:sz w:val="24"/>
        </w:rPr>
        <w:t>▲重量：≤</w:t>
      </w:r>
      <w:r>
        <w:rPr>
          <w:rFonts w:ascii="宋体" w:hAnsi="宋体" w:cs="宋体"/>
          <w:kern w:val="0"/>
          <w:sz w:val="24"/>
        </w:rPr>
        <w:t>4.2kg</w:t>
      </w:r>
      <w:r>
        <w:rPr>
          <w:rFonts w:hint="eastAsia" w:ascii="宋体" w:hAnsi="宋体" w:cs="宋体"/>
          <w:kern w:val="0"/>
          <w:sz w:val="24"/>
        </w:rPr>
        <w:t>（标配，含电池）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电池需提供2块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0FB3D53B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▲彩色电容触摸屏≥</w:t>
      </w:r>
      <w:r>
        <w:rPr>
          <w:rFonts w:ascii="宋体" w:hAnsi="宋体" w:cs="宋体"/>
          <w:kern w:val="0"/>
          <w:sz w:val="24"/>
        </w:rPr>
        <w:t>8</w:t>
      </w:r>
      <w:r>
        <w:rPr>
          <w:rFonts w:hint="eastAsia" w:ascii="宋体" w:hAnsi="宋体" w:cs="宋体"/>
          <w:kern w:val="0"/>
          <w:sz w:val="24"/>
        </w:rPr>
        <w:t>英寸, 分辨率</w:t>
      </w:r>
      <w:r>
        <w:rPr>
          <w:rFonts w:ascii="宋体" w:hAnsi="宋体" w:cs="宋体"/>
          <w:kern w:val="0"/>
          <w:sz w:val="24"/>
        </w:rPr>
        <w:t>1024</w:t>
      </w:r>
      <w:r>
        <w:rPr>
          <w:rFonts w:hint="eastAsia" w:ascii="宋体" w:hAnsi="宋体" w:cs="宋体"/>
          <w:kern w:val="0"/>
          <w:sz w:val="24"/>
        </w:rPr>
        <w:t>×</w:t>
      </w:r>
      <w:r>
        <w:rPr>
          <w:rFonts w:ascii="宋体" w:hAnsi="宋体" w:cs="宋体"/>
          <w:kern w:val="0"/>
          <w:sz w:val="24"/>
        </w:rPr>
        <w:t>768</w:t>
      </w:r>
      <w:r>
        <w:rPr>
          <w:rFonts w:hint="eastAsia" w:ascii="宋体" w:hAnsi="宋体" w:cs="宋体"/>
          <w:kern w:val="0"/>
          <w:sz w:val="24"/>
        </w:rPr>
        <w:t>像素，可显示≥</w:t>
      </w:r>
      <w:r>
        <w:rPr>
          <w:rFonts w:ascii="宋体" w:hAnsi="宋体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>通道监护参数波形，支持手势操作、自动亮度调节。</w:t>
      </w:r>
    </w:p>
    <w:p w14:paraId="64D6E9B8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提供图形化故障排除指引，帮助医护人员快速解决设备故障。</w:t>
      </w:r>
    </w:p>
    <w:p w14:paraId="58CDDDB3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▲具备手动除颤、心电监护、呼吸监护、自动体外除颤（AED）功能，A</w:t>
      </w:r>
      <w:r>
        <w:rPr>
          <w:rFonts w:ascii="宋体" w:hAnsi="宋体" w:cs="宋体"/>
          <w:kern w:val="0"/>
          <w:sz w:val="24"/>
        </w:rPr>
        <w:t>ED</w:t>
      </w:r>
      <w:r>
        <w:rPr>
          <w:rFonts w:hint="eastAsia" w:ascii="宋体" w:hAnsi="宋体" w:cs="宋体"/>
          <w:kern w:val="0"/>
          <w:sz w:val="24"/>
        </w:rPr>
        <w:t>功能适用于</w:t>
      </w:r>
      <w:r>
        <w:rPr>
          <w:rFonts w:ascii="宋体" w:hAnsi="宋体" w:cs="宋体"/>
          <w:kern w:val="0"/>
          <w:sz w:val="24"/>
        </w:rPr>
        <w:t>29</w:t>
      </w:r>
      <w:r>
        <w:rPr>
          <w:rFonts w:hint="eastAsia" w:ascii="宋体" w:hAnsi="宋体" w:cs="宋体"/>
          <w:kern w:val="0"/>
          <w:sz w:val="24"/>
        </w:rPr>
        <w:t>天以上人群。</w:t>
      </w:r>
    </w:p>
    <w:p w14:paraId="4DF92A84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手动除颤分为同步和非同步两种方式，能量分20档以上，可通过体外电极板进行能量选择，最大能量可达360J。</w:t>
      </w:r>
    </w:p>
    <w:p w14:paraId="0455B58A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支持智能分析功能，手动除颤模式下也可提供自动节律分析和操作指引。</w:t>
      </w:r>
    </w:p>
    <w:p w14:paraId="6E71B970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▲</w:t>
      </w:r>
      <w:r>
        <w:rPr>
          <w:rFonts w:hint="eastAsia" w:ascii="宋体" w:hAnsi="宋体" w:cs="宋体"/>
          <w:kern w:val="0"/>
          <w:sz w:val="24"/>
        </w:rPr>
        <w:t>可选配基于脉搏氧波形分析的心肺复苏质量指数，实现无创、实时评估人工心肺复苏质量。</w:t>
      </w:r>
    </w:p>
    <w:p w14:paraId="6B83A210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提供C</w:t>
      </w:r>
      <w:r>
        <w:rPr>
          <w:rFonts w:ascii="宋体" w:hAnsi="宋体" w:cs="宋体"/>
          <w:kern w:val="0"/>
          <w:sz w:val="24"/>
        </w:rPr>
        <w:t>PR</w:t>
      </w:r>
      <w:r>
        <w:rPr>
          <w:rFonts w:hint="eastAsia" w:ascii="宋体" w:hAnsi="宋体" w:cs="宋体"/>
          <w:kern w:val="0"/>
          <w:sz w:val="24"/>
        </w:rPr>
        <w:t>按压干扰滤过功能，通过除颤电极片或</w:t>
      </w:r>
      <w:r>
        <w:rPr>
          <w:rFonts w:ascii="宋体" w:hAnsi="宋体" w:cs="宋体"/>
          <w:kern w:val="0"/>
          <w:sz w:val="24"/>
        </w:rPr>
        <w:t>CPR</w:t>
      </w:r>
      <w:r>
        <w:rPr>
          <w:rFonts w:hint="eastAsia" w:ascii="宋体" w:hAnsi="宋体" w:cs="宋体"/>
          <w:kern w:val="0"/>
          <w:sz w:val="24"/>
        </w:rPr>
        <w:t>传感器自动检测按压干扰并实时滤波，减少按压中断。</w:t>
      </w:r>
    </w:p>
    <w:p w14:paraId="03321555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抢救结束后自动生成抢救报告，并可通过网络将除颤和按压数据自动上传至急救数据分析系统；急救数据分析系统提供抢救数据复盘、分析工具。</w:t>
      </w:r>
    </w:p>
    <w:p w14:paraId="4DC1C4D5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▲</w:t>
      </w:r>
      <w:r>
        <w:rPr>
          <w:rFonts w:hint="eastAsia" w:ascii="宋体" w:hAnsi="宋体" w:cs="宋体"/>
          <w:kern w:val="0"/>
          <w:sz w:val="24"/>
        </w:rPr>
        <w:t>支持培训模式，包含C</w:t>
      </w:r>
      <w:r>
        <w:rPr>
          <w:rFonts w:ascii="宋体" w:hAnsi="宋体" w:cs="宋体"/>
          <w:kern w:val="0"/>
          <w:sz w:val="24"/>
        </w:rPr>
        <w:t>PR</w:t>
      </w:r>
      <w:r>
        <w:rPr>
          <w:rFonts w:hint="eastAsia" w:ascii="宋体" w:hAnsi="宋体" w:cs="宋体"/>
          <w:kern w:val="0"/>
          <w:sz w:val="24"/>
        </w:rPr>
        <w:t>操作培训、抢救操作培训；可提供培训考核系统，支持多台设备同时接入进行在线培训、考核。</w:t>
      </w:r>
    </w:p>
    <w:p w14:paraId="2CF36EAD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▲</w:t>
      </w:r>
      <w:r>
        <w:rPr>
          <w:rFonts w:hint="eastAsia" w:ascii="宋体" w:hAnsi="宋体" w:cs="宋体"/>
          <w:kern w:val="0"/>
          <w:sz w:val="24"/>
        </w:rPr>
        <w:t>支持连接中央站，与科室床旁监护仪共用监护网络。</w:t>
      </w:r>
    </w:p>
    <w:p w14:paraId="525E20A2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▲</w:t>
      </w:r>
      <w:r>
        <w:rPr>
          <w:rFonts w:hint="eastAsia" w:ascii="宋体" w:hAnsi="宋体" w:cs="宋体"/>
          <w:kern w:val="0"/>
          <w:sz w:val="24"/>
        </w:rPr>
        <w:t>具备良好的防尘防水性能，防尘防水级别</w:t>
      </w:r>
      <w:r>
        <w:rPr>
          <w:rFonts w:ascii="宋体" w:hAnsi="宋体" w:cs="宋体"/>
          <w:kern w:val="0"/>
          <w:sz w:val="24"/>
        </w:rPr>
        <w:t>IP55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16BF19AC">
      <w:pPr>
        <w:widowControl/>
        <w:numPr>
          <w:ilvl w:val="0"/>
          <w:numId w:val="3"/>
        </w:numPr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▲</w:t>
      </w:r>
      <w:r>
        <w:rPr>
          <w:rFonts w:hint="eastAsia" w:ascii="宋体" w:hAnsi="宋体" w:cs="宋体"/>
          <w:kern w:val="0"/>
          <w:sz w:val="24"/>
          <w:lang w:val="en-US" w:eastAsia="zh-CN"/>
        </w:rPr>
        <w:t>质保时间不小于3年。</w:t>
      </w:r>
    </w:p>
    <w:p w14:paraId="7495B3AC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48A44FF8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3"/>
        <w:rPr>
          <w:rFonts w:hint="eastAsia"/>
        </w:rPr>
      </w:pPr>
    </w:p>
    <w:p w14:paraId="3925976B">
      <w:pPr>
        <w:pStyle w:val="4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409C9B73">
      <w:pPr>
        <w:pStyle w:val="4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2F1B6BA0"/>
    <w:multiLevelType w:val="multilevel"/>
    <w:tmpl w:val="2F1B6BA0"/>
    <w:lvl w:ilvl="0" w:tentative="0">
      <w:start w:val="1"/>
      <w:numFmt w:val="decimal"/>
      <w:lvlText w:val="%1."/>
      <w:lvlJc w:val="left"/>
      <w:pPr>
        <w:tabs>
          <w:tab w:val="left" w:pos="778"/>
        </w:tabs>
        <w:ind w:left="778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1198"/>
        </w:tabs>
        <w:ind w:left="119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73355A4"/>
    <w:rsid w:val="1A5A220F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33007E89"/>
    <w:rsid w:val="3316045E"/>
    <w:rsid w:val="44C26429"/>
    <w:rsid w:val="45CF482F"/>
    <w:rsid w:val="48A90B28"/>
    <w:rsid w:val="49C7499F"/>
    <w:rsid w:val="4A717C55"/>
    <w:rsid w:val="4D000807"/>
    <w:rsid w:val="4F4244EB"/>
    <w:rsid w:val="61CE2A1B"/>
    <w:rsid w:val="650359EB"/>
    <w:rsid w:val="6AD06983"/>
    <w:rsid w:val="6C666A35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3330</Words>
  <Characters>3545</Characters>
  <Lines>0</Lines>
  <Paragraphs>0</Paragraphs>
  <TotalTime>1</TotalTime>
  <ScaleCrop>false</ScaleCrop>
  <LinksUpToDate>false</LinksUpToDate>
  <CharactersWithSpaces>3717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2026-02-28T00:10:20Z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0F553EDA1F934ED184ED97F67569F630_13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