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EFF86FC">
      <w:pPr>
        <w:widowControl/>
        <w:snapToGrid w:val="0"/>
        <w:spacing w:line="800" w:lineRule="exact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关于光子治疗仪</w:t>
      </w: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16日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12690"/>
      <w:bookmarkStart w:id="1" w:name="_Toc519708707"/>
      <w:bookmarkStart w:id="2" w:name="_Toc42015219"/>
      <w:bookmarkStart w:id="3" w:name="_Toc42015018"/>
      <w:bookmarkStart w:id="4" w:name="_Toc42014953"/>
      <w:bookmarkStart w:id="5" w:name="_Toc25494"/>
      <w:bookmarkStart w:id="6" w:name="_Toc16543"/>
      <w:bookmarkStart w:id="7" w:name="_Toc31699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根据我院建设工作需要，拟对“光子治疗仪”进行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项目名称：广元市中心医院关于光子治疗仪的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项目公告期：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61B11CB8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BC057F1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4E2AEE4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2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3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3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3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3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3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4954"/>
      <w:bookmarkStart w:id="9" w:name="_Toc9714"/>
      <w:bookmarkStart w:id="10" w:name="_Toc12952"/>
      <w:bookmarkStart w:id="11" w:name="_Toc9341"/>
      <w:bookmarkStart w:id="12" w:name="_Toc5155"/>
      <w:bookmarkStart w:id="13" w:name="_Toc10579"/>
      <w:bookmarkStart w:id="14" w:name="_Toc514409265"/>
      <w:bookmarkStart w:id="15" w:name="_Toc13516"/>
      <w:bookmarkStart w:id="16" w:name="_Toc15278"/>
      <w:bookmarkStart w:id="17" w:name="_Toc519708708"/>
      <w:bookmarkStart w:id="18" w:name="_Toc8915"/>
      <w:bookmarkStart w:id="19" w:name="_Toc24738"/>
      <w:bookmarkStart w:id="20" w:name="_Toc42015220"/>
      <w:bookmarkStart w:id="21" w:name="_Toc10646"/>
      <w:bookmarkStart w:id="22" w:name="_Toc514424483"/>
      <w:bookmarkStart w:id="23" w:name="_Toc4201501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2A81AE28">
      <w:pPr>
        <w:pStyle w:val="2"/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19542"/>
      <w:bookmarkStart w:id="25" w:name="_Toc42015022"/>
      <w:bookmarkStart w:id="26" w:name="_Toc7099"/>
      <w:bookmarkStart w:id="27" w:name="_Toc21920"/>
      <w:bookmarkStart w:id="28" w:name="_Toc27016"/>
      <w:bookmarkStart w:id="29" w:name="_Toc15373"/>
      <w:bookmarkStart w:id="30" w:name="_Toc42014957"/>
      <w:bookmarkStart w:id="31" w:name="_Toc25115"/>
      <w:bookmarkStart w:id="32" w:name="_Toc36199918"/>
      <w:bookmarkStart w:id="33" w:name="_Toc16088"/>
      <w:bookmarkStart w:id="34" w:name="_Toc42015223"/>
      <w:bookmarkStart w:id="35" w:name="_Toc7672"/>
      <w:bookmarkStart w:id="36" w:name="_Toc751"/>
    </w:p>
    <w:p w14:paraId="7A3FF932">
      <w:pPr>
        <w:rPr>
          <w:rFonts w:hint="eastAsia"/>
        </w:rPr>
      </w:pPr>
    </w:p>
    <w:p w14:paraId="5B90338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1.产品注册登记表的适用范围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  <w:t>适用于消炎、镇痛，对体表创面有止渗液、促进肉芽组织生长、加速愈合的作用。</w:t>
      </w:r>
    </w:p>
    <w:p w14:paraId="521C4B2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2、具有红蓝光自动切换功能   蓝光源照射后自动启动红光照射的切换。</w:t>
      </w:r>
    </w:p>
    <w:p w14:paraId="5E185568">
      <w:pPr>
        <w:rPr>
          <w:rFonts w:hint="eastAsia"/>
        </w:rPr>
      </w:pPr>
    </w:p>
    <w:p w14:paraId="313FF7D6">
      <w:pPr>
        <w:rPr>
          <w:rFonts w:hint="eastAsia"/>
        </w:rPr>
      </w:pPr>
    </w:p>
    <w:p w14:paraId="096994D8">
      <w:pPr>
        <w:rPr>
          <w:rFonts w:hint="eastAsia"/>
        </w:rPr>
      </w:pPr>
    </w:p>
    <w:p w14:paraId="5AEABD92">
      <w:pPr>
        <w:rPr>
          <w:rFonts w:hint="eastAsia"/>
        </w:rPr>
      </w:pPr>
    </w:p>
    <w:p w14:paraId="145647B3">
      <w:pPr>
        <w:rPr>
          <w:rFonts w:hint="eastAsia"/>
        </w:rPr>
      </w:pPr>
    </w:p>
    <w:p w14:paraId="5249D4ED">
      <w:pPr>
        <w:rPr>
          <w:rFonts w:hint="eastAsia"/>
        </w:rPr>
      </w:pPr>
    </w:p>
    <w:p w14:paraId="667BD961">
      <w:pPr>
        <w:rPr>
          <w:rFonts w:hint="eastAsia"/>
        </w:rPr>
      </w:pPr>
    </w:p>
    <w:p w14:paraId="109BB882">
      <w:pPr>
        <w:rPr>
          <w:rFonts w:hint="eastAsia"/>
        </w:rPr>
      </w:pPr>
    </w:p>
    <w:p w14:paraId="0D5A9987">
      <w:pPr>
        <w:rPr>
          <w:rFonts w:hint="eastAsia"/>
        </w:rPr>
      </w:pPr>
    </w:p>
    <w:p w14:paraId="4A98BDCF">
      <w:pPr>
        <w:rPr>
          <w:rFonts w:hint="eastAsia"/>
        </w:rPr>
      </w:pPr>
    </w:p>
    <w:p w14:paraId="707D28BE">
      <w:pPr>
        <w:rPr>
          <w:rFonts w:hint="eastAsia"/>
        </w:rPr>
      </w:pPr>
    </w:p>
    <w:p w14:paraId="101ED577">
      <w:pPr>
        <w:rPr>
          <w:rFonts w:hint="eastAsia"/>
        </w:rPr>
      </w:pPr>
    </w:p>
    <w:p w14:paraId="62B87635">
      <w:pPr>
        <w:rPr>
          <w:rFonts w:hint="eastAsia"/>
        </w:rPr>
      </w:pPr>
    </w:p>
    <w:p w14:paraId="3C494A15">
      <w:pPr>
        <w:rPr>
          <w:rFonts w:hint="eastAsia"/>
        </w:rPr>
      </w:pPr>
    </w:p>
    <w:p w14:paraId="7C56BDAE">
      <w:pPr>
        <w:rPr>
          <w:rFonts w:hint="eastAsia"/>
        </w:rPr>
      </w:pPr>
    </w:p>
    <w:p w14:paraId="384E6CEE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1FCC214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77DA0EAE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89F1986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D33F634">
      <w:pPr>
        <w:rPr>
          <w:rFonts w:hint="eastAsia"/>
          <w:color w:val="auto"/>
          <w:sz w:val="36"/>
          <w:szCs w:val="48"/>
          <w:highlight w:val="none"/>
        </w:rPr>
      </w:pPr>
    </w:p>
    <w:p w14:paraId="4AF9E4A9">
      <w:pPr>
        <w:rPr>
          <w:rFonts w:hint="eastAsia"/>
          <w:color w:val="auto"/>
          <w:sz w:val="36"/>
          <w:szCs w:val="48"/>
          <w:highlight w:val="none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bookmarkStart w:id="42" w:name="_GoBack"/>
      <w:bookmarkEnd w:id="42"/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9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9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9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9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07A838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E406EB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265917E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参数对比表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93"/>
        <w:gridCol w:w="2367"/>
        <w:gridCol w:w="1539"/>
        <w:gridCol w:w="1207"/>
      </w:tblGrid>
      <w:tr w14:paraId="6748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4B8F0962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61" w:type="dxa"/>
          </w:tcPr>
          <w:p w14:paraId="23E2DC45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响应文件参数需求</w:t>
            </w:r>
          </w:p>
        </w:tc>
        <w:tc>
          <w:tcPr>
            <w:tcW w:w="2517" w:type="dxa"/>
          </w:tcPr>
          <w:p w14:paraId="12D9F948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投标产品实际需求</w:t>
            </w:r>
          </w:p>
        </w:tc>
        <w:tc>
          <w:tcPr>
            <w:tcW w:w="1622" w:type="dxa"/>
          </w:tcPr>
          <w:p w14:paraId="039B724B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偏差说明</w:t>
            </w:r>
          </w:p>
        </w:tc>
        <w:tc>
          <w:tcPr>
            <w:tcW w:w="1264" w:type="dxa"/>
          </w:tcPr>
          <w:p w14:paraId="7C3B962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375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F6024D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57B0F1A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3712077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7DBE099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6B152627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E89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1B37B8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397F7621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3A02799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1385169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0254497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620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6CE745D9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447BD2F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7A9C8AE9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4153AA1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1E1B60B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740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EA4B9F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ADAECBC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1847738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5CA70F7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28647FD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994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9B2616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5ADA92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7F58445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3424D65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4DEC3A5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199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5320625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676E6B7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0651D51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02C50A7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17C5C58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61E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1616753A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3111044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5F4376F3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4A72CF57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0ED79115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BDD17D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70076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B61DBC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495BC0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DAF614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F43C94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F859B9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248247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165DC2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2D9BFA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AFF510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E3831A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F5DC22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389CA2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20273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25A8E7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A3437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D2152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09ABC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5E77A6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7BDE13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290C1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19A47C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1CBD20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1308F7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7AE2B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31AAA8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6</w:t>
      </w:r>
    </w:p>
    <w:p w14:paraId="57C28F02">
      <w:pPr>
        <w:jc w:val="center"/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4FF5"/>
    <w:rsid w:val="09B33820"/>
    <w:rsid w:val="3CFA3CA1"/>
    <w:rsid w:val="3D1A04DB"/>
    <w:rsid w:val="3DF930D7"/>
    <w:rsid w:val="49F033BE"/>
    <w:rsid w:val="65295CAB"/>
    <w:rsid w:val="77674F94"/>
    <w:rsid w:val="7E5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3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3472</Words>
  <Characters>3750</Characters>
  <Lines>0</Lines>
  <Paragraphs>0</Paragraphs>
  <TotalTime>2</TotalTime>
  <ScaleCrop>false</ScaleCrop>
  <LinksUpToDate>false</LinksUpToDate>
  <CharactersWithSpaces>3918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2025-04-29T09:55:00Z</dcterms:created>
  <dc:creator>aoc</dc:creator>
  <cp:lastModifiedBy>*</cp:lastModifiedBy>
  <dcterms:modified xsi:type="dcterms:W3CDTF">2025-05-16T07:33:14Z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eyJoZGlkIjoiM2EzNzBhMGMwOGMzNTRlMmMwMjNlYzA4ZWQ5ODQyYzMiLCJ1c2VySWQiOiIzMzU3MDAyMzYifQ==</vt:lpwstr>
  </property>
  <property fmtid="{D5CDD505-2E9C-101B-9397-08002B2CF9AE}" pid="4" name="ICV">
    <vt:lpwstr>2103FDB93B8E447C8A62E37CBD438CF4_12</vt:lpwstr>
  </property>
</Properties>
</file>